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8795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8"/>
          <w:szCs w:val="28"/>
          <w:lang w:val="uk-UA"/>
        </w:rPr>
      </w:pPr>
      <w:r w:rsidRPr="004229C1">
        <w:rPr>
          <w:rFonts w:ascii="Times New Roman" w:hAnsi="Times New Roman" w:cs="Times New Roman"/>
          <w:b/>
          <w:bCs/>
          <w:kern w:val="0"/>
          <w:sz w:val="28"/>
          <w:szCs w:val="28"/>
          <w:lang w:val="uk-UA"/>
        </w:rPr>
        <w:t>Титульний аркуш</w:t>
      </w:r>
    </w:p>
    <w:p w14:paraId="2C9457D3"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8"/>
          <w:szCs w:val="28"/>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7469BF" w:rsidRPr="004229C1" w14:paraId="7F5AD681" w14:textId="77777777">
        <w:trPr>
          <w:trHeight w:val="300"/>
        </w:trPr>
        <w:tc>
          <w:tcPr>
            <w:tcW w:w="5230" w:type="dxa"/>
            <w:tcBorders>
              <w:top w:val="nil"/>
              <w:left w:val="nil"/>
              <w:bottom w:val="single" w:sz="6" w:space="0" w:color="auto"/>
              <w:right w:val="nil"/>
            </w:tcBorders>
            <w:vAlign w:val="bottom"/>
          </w:tcPr>
          <w:p w14:paraId="51FA033B" w14:textId="23492D97" w:rsidR="007469BF" w:rsidRPr="005C4195" w:rsidRDefault="005C4195">
            <w:pPr>
              <w:widowControl w:val="0"/>
              <w:autoSpaceDE w:val="0"/>
              <w:autoSpaceDN w:val="0"/>
              <w:adjustRightInd w:val="0"/>
              <w:spacing w:after="0" w:line="240" w:lineRule="auto"/>
              <w:jc w:val="center"/>
              <w:rPr>
                <w:rFonts w:ascii="Times New Roman" w:hAnsi="Times New Roman" w:cs="Times New Roman"/>
                <w:kern w:val="0"/>
                <w:lang w:val="en-US"/>
              </w:rPr>
            </w:pPr>
            <w:r>
              <w:rPr>
                <w:rFonts w:ascii="Times New Roman" w:hAnsi="Times New Roman" w:cs="Times New Roman"/>
                <w:kern w:val="0"/>
                <w:lang w:val="en-US"/>
              </w:rPr>
              <w:t>23.06.2025</w:t>
            </w:r>
          </w:p>
        </w:tc>
      </w:tr>
      <w:tr w:rsidR="007469BF" w:rsidRPr="004229C1" w14:paraId="7C74110F"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5AE41E8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 реєстрації особою електронного документа)</w:t>
            </w:r>
          </w:p>
        </w:tc>
      </w:tr>
      <w:tr w:rsidR="007469BF" w:rsidRPr="004229C1" w14:paraId="4725D21B" w14:textId="77777777">
        <w:trPr>
          <w:trHeight w:val="300"/>
        </w:trPr>
        <w:tc>
          <w:tcPr>
            <w:tcW w:w="5230" w:type="dxa"/>
            <w:tcBorders>
              <w:top w:val="nil"/>
              <w:left w:val="nil"/>
              <w:bottom w:val="single" w:sz="6" w:space="0" w:color="auto"/>
              <w:right w:val="nil"/>
            </w:tcBorders>
            <w:vAlign w:val="bottom"/>
          </w:tcPr>
          <w:p w14:paraId="0BBF5B7F" w14:textId="428D0F41" w:rsidR="007469BF" w:rsidRPr="002E6219" w:rsidRDefault="002E6219">
            <w:pPr>
              <w:widowControl w:val="0"/>
              <w:autoSpaceDE w:val="0"/>
              <w:autoSpaceDN w:val="0"/>
              <w:adjustRightInd w:val="0"/>
              <w:spacing w:after="0" w:line="240" w:lineRule="auto"/>
              <w:jc w:val="center"/>
              <w:rPr>
                <w:rFonts w:ascii="Times New Roman" w:hAnsi="Times New Roman" w:cs="Times New Roman"/>
                <w:kern w:val="0"/>
                <w:lang w:val="en-US"/>
              </w:rPr>
            </w:pPr>
            <w:r>
              <w:rPr>
                <w:rFonts w:ascii="Times New Roman" w:hAnsi="Times New Roman" w:cs="Times New Roman"/>
                <w:kern w:val="0"/>
                <w:lang w:val="en-US"/>
              </w:rPr>
              <w:t>46</w:t>
            </w:r>
          </w:p>
        </w:tc>
      </w:tr>
      <w:tr w:rsidR="007469BF" w:rsidRPr="004229C1" w14:paraId="68BAE835" w14:textId="77777777">
        <w:trPr>
          <w:trHeight w:val="300"/>
        </w:trPr>
        <w:tc>
          <w:tcPr>
            <w:tcW w:w="5230" w:type="dxa"/>
            <w:tcBorders>
              <w:top w:val="nil"/>
              <w:left w:val="nil"/>
              <w:bottom w:val="nil"/>
              <w:right w:val="nil"/>
            </w:tcBorders>
            <w:vAlign w:val="bottom"/>
          </w:tcPr>
          <w:p w14:paraId="10FA2DC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(вихідний реєстраційний номер електронного документа)</w:t>
            </w:r>
          </w:p>
        </w:tc>
      </w:tr>
    </w:tbl>
    <w:p w14:paraId="656B2CF1"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7469BF" w:rsidRPr="004229C1" w14:paraId="57CBF6FF" w14:textId="77777777">
        <w:trPr>
          <w:trHeight w:val="300"/>
        </w:trPr>
        <w:tc>
          <w:tcPr>
            <w:tcW w:w="10465" w:type="dxa"/>
            <w:tcBorders>
              <w:top w:val="nil"/>
              <w:left w:val="nil"/>
              <w:bottom w:val="nil"/>
              <w:right w:val="nil"/>
            </w:tcBorders>
            <w:vAlign w:val="bottom"/>
          </w:tcPr>
          <w:p w14:paraId="5BA804C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46CF7106"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7469BF" w:rsidRPr="004229C1" w14:paraId="15FE5749" w14:textId="77777777">
        <w:trPr>
          <w:trHeight w:val="200"/>
        </w:trPr>
        <w:tc>
          <w:tcPr>
            <w:tcW w:w="3415" w:type="dxa"/>
            <w:tcBorders>
              <w:top w:val="nil"/>
              <w:left w:val="nil"/>
              <w:bottom w:val="single" w:sz="6" w:space="0" w:color="auto"/>
              <w:right w:val="nil"/>
            </w:tcBorders>
            <w:vAlign w:val="bottom"/>
          </w:tcPr>
          <w:p w14:paraId="1F2FCB99" w14:textId="436556F8" w:rsidR="007469BF" w:rsidRPr="004229C1" w:rsidRDefault="008825D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Голова Правління</w:t>
            </w:r>
          </w:p>
        </w:tc>
        <w:tc>
          <w:tcPr>
            <w:tcW w:w="216" w:type="dxa"/>
            <w:tcBorders>
              <w:top w:val="nil"/>
              <w:left w:val="nil"/>
              <w:bottom w:val="nil"/>
              <w:right w:val="nil"/>
            </w:tcBorders>
          </w:tcPr>
          <w:p w14:paraId="07A26CF3"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334" w:type="dxa"/>
            <w:tcBorders>
              <w:top w:val="nil"/>
              <w:left w:val="nil"/>
              <w:bottom w:val="single" w:sz="6" w:space="0" w:color="auto"/>
              <w:right w:val="nil"/>
            </w:tcBorders>
            <w:vAlign w:val="bottom"/>
          </w:tcPr>
          <w:p w14:paraId="7D3A5AE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216" w:type="dxa"/>
            <w:tcBorders>
              <w:top w:val="nil"/>
              <w:left w:val="nil"/>
              <w:bottom w:val="nil"/>
              <w:right w:val="nil"/>
            </w:tcBorders>
          </w:tcPr>
          <w:p w14:paraId="42BD30D8"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284" w:type="dxa"/>
            <w:tcBorders>
              <w:top w:val="nil"/>
              <w:left w:val="nil"/>
              <w:bottom w:val="single" w:sz="6" w:space="0" w:color="auto"/>
              <w:right w:val="nil"/>
            </w:tcBorders>
            <w:vAlign w:val="bottom"/>
          </w:tcPr>
          <w:p w14:paraId="6F07B6D7" w14:textId="08205FA4" w:rsidR="007469BF" w:rsidRPr="004229C1" w:rsidRDefault="008825D4">
            <w:pPr>
              <w:widowControl w:val="0"/>
              <w:autoSpaceDE w:val="0"/>
              <w:autoSpaceDN w:val="0"/>
              <w:adjustRightInd w:val="0"/>
              <w:spacing w:after="0" w:line="240" w:lineRule="auto"/>
              <w:jc w:val="center"/>
              <w:rPr>
                <w:rFonts w:ascii="Times New Roman" w:hAnsi="Times New Roman" w:cs="Times New Roman"/>
                <w:kern w:val="0"/>
                <w:lang w:val="uk-UA"/>
              </w:rPr>
            </w:pPr>
            <w:proofErr w:type="spellStart"/>
            <w:r w:rsidRPr="004229C1">
              <w:rPr>
                <w:rFonts w:ascii="Times New Roman" w:hAnsi="Times New Roman" w:cs="Times New Roman"/>
                <w:kern w:val="0"/>
                <w:lang w:val="uk-UA"/>
              </w:rPr>
              <w:t>Джанлука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Корріас</w:t>
            </w:r>
            <w:proofErr w:type="spellEnd"/>
          </w:p>
        </w:tc>
      </w:tr>
      <w:tr w:rsidR="007469BF" w:rsidRPr="004229C1" w14:paraId="02E267F9" w14:textId="77777777">
        <w:trPr>
          <w:trHeight w:val="200"/>
        </w:trPr>
        <w:tc>
          <w:tcPr>
            <w:tcW w:w="3415" w:type="dxa"/>
            <w:tcBorders>
              <w:top w:val="nil"/>
              <w:left w:val="nil"/>
              <w:bottom w:val="nil"/>
              <w:right w:val="nil"/>
            </w:tcBorders>
          </w:tcPr>
          <w:p w14:paraId="596744B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(посада)</w:t>
            </w:r>
          </w:p>
        </w:tc>
        <w:tc>
          <w:tcPr>
            <w:tcW w:w="216" w:type="dxa"/>
            <w:tcBorders>
              <w:top w:val="nil"/>
              <w:left w:val="nil"/>
              <w:bottom w:val="nil"/>
              <w:right w:val="nil"/>
            </w:tcBorders>
          </w:tcPr>
          <w:p w14:paraId="69C3047A"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3334" w:type="dxa"/>
            <w:tcBorders>
              <w:top w:val="nil"/>
              <w:left w:val="nil"/>
              <w:bottom w:val="nil"/>
              <w:right w:val="nil"/>
            </w:tcBorders>
          </w:tcPr>
          <w:p w14:paraId="798FB5C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193D7DFE"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3284" w:type="dxa"/>
            <w:tcBorders>
              <w:top w:val="nil"/>
              <w:left w:val="nil"/>
              <w:bottom w:val="nil"/>
              <w:right w:val="nil"/>
            </w:tcBorders>
          </w:tcPr>
          <w:p w14:paraId="671745E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(прізвище та ініціали керівника або уповноваженої особи)</w:t>
            </w:r>
          </w:p>
        </w:tc>
      </w:tr>
    </w:tbl>
    <w:p w14:paraId="42BB6AE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pPr>
    </w:p>
    <w:p w14:paraId="2B005F7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Річний звіт</w:t>
      </w:r>
    </w:p>
    <w:p w14:paraId="485BDA6F" w14:textId="0FF1F91A" w:rsidR="007469BF" w:rsidRPr="004229C1" w:rsidRDefault="008825D4">
      <w:pPr>
        <w:widowControl w:val="0"/>
        <w:autoSpaceDE w:val="0"/>
        <w:autoSpaceDN w:val="0"/>
        <w:adjustRightInd w:val="0"/>
        <w:spacing w:after="0" w:line="240" w:lineRule="auto"/>
        <w:jc w:val="center"/>
        <w:rPr>
          <w:rFonts w:ascii="Times New Roman" w:hAnsi="Times New Roman" w:cs="Times New Roman"/>
          <w:b/>
          <w:bCs/>
          <w:kern w:val="0"/>
          <w:lang w:val="uk-UA"/>
        </w:rPr>
      </w:pPr>
      <w:proofErr w:type="spellStart"/>
      <w:r w:rsidRPr="004229C1">
        <w:rPr>
          <w:rFonts w:ascii="Times New Roman" w:hAnsi="Times New Roman" w:cs="Times New Roman"/>
          <w:b/>
          <w:bCs/>
          <w:kern w:val="0"/>
          <w:lang w:val="uk-UA"/>
        </w:rPr>
        <w:t>Акцiонерне</w:t>
      </w:r>
      <w:proofErr w:type="spellEnd"/>
      <w:r w:rsidRPr="004229C1">
        <w:rPr>
          <w:rFonts w:ascii="Times New Roman" w:hAnsi="Times New Roman" w:cs="Times New Roman"/>
          <w:b/>
          <w:bCs/>
          <w:kern w:val="0"/>
          <w:lang w:val="uk-UA"/>
        </w:rPr>
        <w:t xml:space="preserve"> товариство "ПРАВЕКС БАНК" (14360920)</w:t>
      </w:r>
    </w:p>
    <w:p w14:paraId="06D7AB9F" w14:textId="1C7DC89C"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за 202</w:t>
      </w:r>
      <w:r w:rsidR="007E7E5D" w:rsidRPr="004229C1">
        <w:rPr>
          <w:rFonts w:ascii="Times New Roman" w:hAnsi="Times New Roman" w:cs="Times New Roman"/>
          <w:b/>
          <w:bCs/>
          <w:kern w:val="0"/>
          <w:lang w:val="uk-UA"/>
        </w:rPr>
        <w:t xml:space="preserve">4 </w:t>
      </w:r>
      <w:r w:rsidRPr="004229C1">
        <w:rPr>
          <w:rFonts w:ascii="Times New Roman" w:hAnsi="Times New Roman" w:cs="Times New Roman"/>
          <w:b/>
          <w:bCs/>
          <w:kern w:val="0"/>
          <w:lang w:val="uk-UA"/>
        </w:rPr>
        <w:t>рік</w:t>
      </w:r>
    </w:p>
    <w:p w14:paraId="1ADF9754"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b/>
          <w:bCs/>
          <w:kern w:val="0"/>
          <w:lang w:val="uk-UA"/>
        </w:rPr>
      </w:pPr>
    </w:p>
    <w:p w14:paraId="0EBD3D92" w14:textId="0C78E753"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Рішення про затвердження річного звіту: Рішення наглядової ради емітента від</w:t>
      </w:r>
      <w:r w:rsidR="003F24B3" w:rsidRPr="004229C1">
        <w:rPr>
          <w:rFonts w:ascii="Times New Roman" w:hAnsi="Times New Roman" w:cs="Times New Roman"/>
          <w:kern w:val="0"/>
          <w:lang w:val="uk-UA"/>
        </w:rPr>
        <w:t xml:space="preserve"> </w:t>
      </w:r>
      <w:r w:rsidR="00867E02" w:rsidRPr="004229C1">
        <w:rPr>
          <w:rFonts w:ascii="Times New Roman" w:hAnsi="Times New Roman" w:cs="Times New Roman"/>
          <w:kern w:val="0"/>
          <w:lang w:val="en-US"/>
        </w:rPr>
        <w:t>19</w:t>
      </w:r>
      <w:r w:rsidR="003F24B3" w:rsidRPr="004229C1">
        <w:rPr>
          <w:rFonts w:ascii="Times New Roman" w:hAnsi="Times New Roman" w:cs="Times New Roman"/>
          <w:kern w:val="0"/>
          <w:lang w:val="uk-UA"/>
        </w:rPr>
        <w:t>.0</w:t>
      </w:r>
      <w:r w:rsidR="00867E02" w:rsidRPr="004229C1">
        <w:rPr>
          <w:rFonts w:ascii="Times New Roman" w:hAnsi="Times New Roman" w:cs="Times New Roman"/>
          <w:kern w:val="0"/>
          <w:lang w:val="en-US"/>
        </w:rPr>
        <w:t>6</w:t>
      </w:r>
      <w:r w:rsidR="003F24B3" w:rsidRPr="004229C1">
        <w:rPr>
          <w:rFonts w:ascii="Times New Roman" w:hAnsi="Times New Roman" w:cs="Times New Roman"/>
          <w:kern w:val="0"/>
          <w:lang w:val="uk-UA"/>
        </w:rPr>
        <w:t>.202</w:t>
      </w:r>
      <w:r w:rsidR="00867E02" w:rsidRPr="004229C1">
        <w:rPr>
          <w:rFonts w:ascii="Times New Roman" w:hAnsi="Times New Roman" w:cs="Times New Roman"/>
          <w:kern w:val="0"/>
          <w:lang w:val="en-US"/>
        </w:rPr>
        <w:t>5</w:t>
      </w:r>
      <w:r w:rsidR="002D04AF" w:rsidRPr="004229C1">
        <w:rPr>
          <w:rFonts w:ascii="Times New Roman" w:hAnsi="Times New Roman" w:cs="Times New Roman"/>
          <w:kern w:val="0"/>
          <w:lang w:val="uk-UA"/>
        </w:rPr>
        <w:t>, Протокол №1</w:t>
      </w:r>
      <w:r w:rsidR="00867E02" w:rsidRPr="004229C1">
        <w:rPr>
          <w:rFonts w:ascii="Times New Roman" w:hAnsi="Times New Roman" w:cs="Times New Roman"/>
          <w:kern w:val="0"/>
          <w:lang w:val="en-US"/>
        </w:rPr>
        <w:t>0_25</w:t>
      </w:r>
      <w:r w:rsidR="002D04AF" w:rsidRPr="004229C1">
        <w:rPr>
          <w:rFonts w:ascii="Times New Roman" w:hAnsi="Times New Roman" w:cs="Times New Roman"/>
          <w:kern w:val="0"/>
          <w:lang w:val="uk-UA"/>
        </w:rPr>
        <w:t xml:space="preserve">, питання </w:t>
      </w:r>
      <w:r w:rsidR="005C4195">
        <w:rPr>
          <w:rFonts w:ascii="Times New Roman" w:hAnsi="Times New Roman" w:cs="Times New Roman"/>
          <w:kern w:val="0"/>
          <w:lang w:val="en-US"/>
        </w:rPr>
        <w:t>11</w:t>
      </w:r>
      <w:r w:rsidR="002D04AF" w:rsidRPr="004229C1">
        <w:rPr>
          <w:rFonts w:ascii="Times New Roman" w:hAnsi="Times New Roman" w:cs="Times New Roman"/>
          <w:kern w:val="0"/>
          <w:lang w:val="uk-UA"/>
        </w:rPr>
        <w:t xml:space="preserve"> порядку денного</w:t>
      </w:r>
      <w:r w:rsidRPr="004229C1">
        <w:rPr>
          <w:rFonts w:ascii="Times New Roman" w:hAnsi="Times New Roman" w:cs="Times New Roman"/>
          <w:kern w:val="0"/>
          <w:lang w:val="uk-UA"/>
        </w:rPr>
        <w:t xml:space="preserve">  </w:t>
      </w:r>
    </w:p>
    <w:p w14:paraId="6F41E8D0" w14:textId="77777777" w:rsidR="008825D4" w:rsidRPr="004229C1" w:rsidRDefault="008825D4">
      <w:pPr>
        <w:widowControl w:val="0"/>
        <w:autoSpaceDE w:val="0"/>
        <w:autoSpaceDN w:val="0"/>
        <w:adjustRightInd w:val="0"/>
        <w:spacing w:after="0" w:line="240" w:lineRule="auto"/>
        <w:jc w:val="both"/>
        <w:rPr>
          <w:rFonts w:ascii="Times New Roman" w:hAnsi="Times New Roman" w:cs="Times New Roman"/>
          <w:kern w:val="0"/>
          <w:lang w:val="uk-UA"/>
        </w:rPr>
      </w:pPr>
    </w:p>
    <w:p w14:paraId="61F800E5" w14:textId="77777777" w:rsidR="008825D4" w:rsidRPr="004229C1" w:rsidRDefault="000B08A7" w:rsidP="008825D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Особа, яка здійснює діяльність з оприлюднення регульованої інформації: </w:t>
      </w:r>
      <w:r w:rsidR="008825D4" w:rsidRPr="004229C1">
        <w:rPr>
          <w:rFonts w:ascii="Times New Roman" w:hAnsi="Times New Roman" w:cs="Times New Roman"/>
          <w:kern w:val="0"/>
          <w:lang w:val="uk-UA"/>
        </w:rPr>
        <w:t xml:space="preserve">Державна установа "Агентство з розвитку </w:t>
      </w:r>
      <w:proofErr w:type="spellStart"/>
      <w:r w:rsidR="008825D4" w:rsidRPr="004229C1">
        <w:rPr>
          <w:rFonts w:ascii="Times New Roman" w:hAnsi="Times New Roman" w:cs="Times New Roman"/>
          <w:kern w:val="0"/>
          <w:lang w:val="uk-UA"/>
        </w:rPr>
        <w:t>iнфраструктури</w:t>
      </w:r>
      <w:proofErr w:type="spellEnd"/>
      <w:r w:rsidR="008825D4" w:rsidRPr="004229C1">
        <w:rPr>
          <w:rFonts w:ascii="Times New Roman" w:hAnsi="Times New Roman" w:cs="Times New Roman"/>
          <w:kern w:val="0"/>
          <w:lang w:val="uk-UA"/>
        </w:rPr>
        <w:t xml:space="preserve"> фондового ринку України", 21676262, Україна, DR/00002/ARM</w:t>
      </w:r>
    </w:p>
    <w:p w14:paraId="0CEFCB88" w14:textId="024738F9"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665FCA7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sidRPr="004229C1">
        <w:rPr>
          <w:rFonts w:ascii="Times New Roman" w:hAnsi="Times New Roman" w:cs="Times New Roman"/>
          <w:kern w:val="0"/>
          <w:lang w:val="uk-UA"/>
        </w:rPr>
        <w:t>iнфраструктури</w:t>
      </w:r>
      <w:proofErr w:type="spellEnd"/>
      <w:r w:rsidRPr="004229C1">
        <w:rPr>
          <w:rFonts w:ascii="Times New Roman" w:hAnsi="Times New Roman" w:cs="Times New Roman"/>
          <w:kern w:val="0"/>
          <w:lang w:val="uk-UA"/>
        </w:rPr>
        <w:t xml:space="preserve"> фондового ринку України", 21676262, Україна, DR/00002/ARM</w:t>
      </w:r>
    </w:p>
    <w:p w14:paraId="03E6271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2F75A519"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Дані про дату та місце оприлюднення річної інформації:</w:t>
      </w:r>
    </w:p>
    <w:p w14:paraId="4067423F" w14:textId="77777777" w:rsidR="007F0477" w:rsidRPr="004229C1" w:rsidRDefault="007F0477">
      <w:pPr>
        <w:widowControl w:val="0"/>
        <w:autoSpaceDE w:val="0"/>
        <w:autoSpaceDN w:val="0"/>
        <w:adjustRightInd w:val="0"/>
        <w:spacing w:after="0" w:line="240" w:lineRule="auto"/>
        <w:jc w:val="both"/>
        <w:rPr>
          <w:rFonts w:ascii="Times New Roman" w:hAnsi="Times New Roman" w:cs="Times New Roman"/>
          <w:kern w:val="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7469BF" w:rsidRPr="004229C1" w14:paraId="1F89C5DB" w14:textId="77777777">
        <w:trPr>
          <w:trHeight w:val="300"/>
        </w:trPr>
        <w:tc>
          <w:tcPr>
            <w:tcW w:w="3415" w:type="dxa"/>
            <w:vMerge w:val="restart"/>
            <w:tcBorders>
              <w:top w:val="nil"/>
              <w:left w:val="nil"/>
              <w:bottom w:val="nil"/>
              <w:right w:val="nil"/>
            </w:tcBorders>
          </w:tcPr>
          <w:p w14:paraId="4F4B757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Річну інформацію розміщено на власному </w:t>
            </w:r>
            <w:proofErr w:type="spellStart"/>
            <w:r w:rsidRPr="004229C1">
              <w:rPr>
                <w:rFonts w:ascii="Times New Roman" w:hAnsi="Times New Roman" w:cs="Times New Roman"/>
                <w:kern w:val="0"/>
                <w:lang w:val="uk-UA"/>
              </w:rPr>
              <w:t>вебсайті</w:t>
            </w:r>
            <w:proofErr w:type="spellEnd"/>
            <w:r w:rsidRPr="004229C1">
              <w:rPr>
                <w:rFonts w:ascii="Times New Roman" w:hAnsi="Times New Roman" w:cs="Times New Roman"/>
                <w:kern w:val="0"/>
                <w:lang w:val="uk-UA"/>
              </w:rPr>
              <w:t xml:space="preserve"> емітента</w:t>
            </w:r>
          </w:p>
        </w:tc>
        <w:tc>
          <w:tcPr>
            <w:tcW w:w="5165" w:type="dxa"/>
            <w:tcBorders>
              <w:top w:val="nil"/>
              <w:left w:val="nil"/>
              <w:bottom w:val="single" w:sz="6" w:space="0" w:color="auto"/>
              <w:right w:val="nil"/>
            </w:tcBorders>
            <w:vAlign w:val="bottom"/>
          </w:tcPr>
          <w:p w14:paraId="1CE637B7" w14:textId="57B6227A"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https://www.pravex.com.ua/o-banke/pro-nas/rozkrittya-informaciyi</w:t>
            </w:r>
          </w:p>
        </w:tc>
        <w:tc>
          <w:tcPr>
            <w:tcW w:w="1885" w:type="dxa"/>
            <w:tcBorders>
              <w:top w:val="nil"/>
              <w:left w:val="nil"/>
              <w:bottom w:val="single" w:sz="6" w:space="0" w:color="auto"/>
              <w:right w:val="nil"/>
            </w:tcBorders>
            <w:vAlign w:val="bottom"/>
          </w:tcPr>
          <w:p w14:paraId="46F42705" w14:textId="1D3FBBD4" w:rsidR="007469BF" w:rsidRPr="005C4195" w:rsidRDefault="005C4195">
            <w:pPr>
              <w:widowControl w:val="0"/>
              <w:autoSpaceDE w:val="0"/>
              <w:autoSpaceDN w:val="0"/>
              <w:adjustRightInd w:val="0"/>
              <w:spacing w:after="0" w:line="240" w:lineRule="auto"/>
              <w:jc w:val="center"/>
              <w:rPr>
                <w:rFonts w:ascii="Times New Roman" w:hAnsi="Times New Roman" w:cs="Times New Roman"/>
                <w:kern w:val="0"/>
                <w:lang w:val="en-US"/>
              </w:rPr>
            </w:pPr>
            <w:r>
              <w:rPr>
                <w:rFonts w:ascii="Times New Roman" w:hAnsi="Times New Roman" w:cs="Times New Roman"/>
                <w:kern w:val="0"/>
                <w:lang w:val="en-US"/>
              </w:rPr>
              <w:t>23.06.2025</w:t>
            </w:r>
          </w:p>
        </w:tc>
      </w:tr>
      <w:tr w:rsidR="007469BF" w:rsidRPr="004229C1" w14:paraId="60FAE9C2" w14:textId="77777777">
        <w:trPr>
          <w:trHeight w:val="300"/>
        </w:trPr>
        <w:tc>
          <w:tcPr>
            <w:tcW w:w="3415" w:type="dxa"/>
            <w:vMerge/>
            <w:tcBorders>
              <w:top w:val="nil"/>
              <w:left w:val="nil"/>
              <w:bottom w:val="nil"/>
              <w:right w:val="nil"/>
            </w:tcBorders>
          </w:tcPr>
          <w:p w14:paraId="037830A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pPr>
          </w:p>
        </w:tc>
        <w:tc>
          <w:tcPr>
            <w:tcW w:w="5165" w:type="dxa"/>
            <w:tcBorders>
              <w:top w:val="nil"/>
              <w:left w:val="nil"/>
              <w:bottom w:val="nil"/>
              <w:right w:val="nil"/>
            </w:tcBorders>
            <w:vAlign w:val="bottom"/>
          </w:tcPr>
          <w:p w14:paraId="34EE9B0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(URL-адреса </w:t>
            </w:r>
            <w:proofErr w:type="spellStart"/>
            <w:r w:rsidRPr="004229C1">
              <w:rPr>
                <w:rFonts w:ascii="Times New Roman" w:hAnsi="Times New Roman" w:cs="Times New Roman"/>
                <w:kern w:val="0"/>
                <w:sz w:val="20"/>
                <w:szCs w:val="20"/>
                <w:lang w:val="uk-UA"/>
              </w:rPr>
              <w:t>вебсайту</w:t>
            </w:r>
            <w:proofErr w:type="spellEnd"/>
            <w:r w:rsidRPr="004229C1">
              <w:rPr>
                <w:rFonts w:ascii="Times New Roman" w:hAnsi="Times New Roman" w:cs="Times New Roman"/>
                <w:kern w:val="0"/>
                <w:sz w:val="20"/>
                <w:szCs w:val="20"/>
                <w:lang w:val="uk-UA"/>
              </w:rPr>
              <w:t>)</w:t>
            </w:r>
          </w:p>
        </w:tc>
        <w:tc>
          <w:tcPr>
            <w:tcW w:w="1885" w:type="dxa"/>
            <w:tcBorders>
              <w:top w:val="nil"/>
              <w:left w:val="nil"/>
              <w:bottom w:val="nil"/>
              <w:right w:val="nil"/>
            </w:tcBorders>
            <w:vAlign w:val="bottom"/>
          </w:tcPr>
          <w:p w14:paraId="40BE562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w:t>
            </w:r>
          </w:p>
        </w:tc>
      </w:tr>
    </w:tbl>
    <w:p w14:paraId="14E6930B"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sectPr w:rsidR="007469BF" w:rsidRPr="004229C1">
          <w:pgSz w:w="12240" w:h="15840"/>
          <w:pgMar w:top="570" w:right="720" w:bottom="570" w:left="720" w:header="720" w:footer="720" w:gutter="0"/>
          <w:cols w:space="720"/>
          <w:noEndnote/>
        </w:sectPr>
      </w:pPr>
    </w:p>
    <w:p w14:paraId="6CA3BF1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lastRenderedPageBreak/>
        <w:t>Пояснення щодо розкриття інформації</w:t>
      </w:r>
    </w:p>
    <w:p w14:paraId="273A9B4E" w14:textId="77777777" w:rsidR="007F0477" w:rsidRPr="004229C1" w:rsidRDefault="007F0477">
      <w:pPr>
        <w:widowControl w:val="0"/>
        <w:autoSpaceDE w:val="0"/>
        <w:autoSpaceDN w:val="0"/>
        <w:adjustRightInd w:val="0"/>
        <w:spacing w:after="0" w:line="240" w:lineRule="auto"/>
        <w:jc w:val="center"/>
        <w:rPr>
          <w:rFonts w:ascii="Times New Roman" w:hAnsi="Times New Roman" w:cs="Times New Roman"/>
          <w:kern w:val="0"/>
          <w:lang w:val="uk-UA"/>
        </w:rPr>
      </w:pPr>
    </w:p>
    <w:p w14:paraId="1B4AA49F"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щодо </w:t>
      </w:r>
      <w:proofErr w:type="spellStart"/>
      <w:r w:rsidRPr="004229C1">
        <w:rPr>
          <w:rFonts w:ascii="Times New Roman" w:hAnsi="Times New Roman" w:cs="Times New Roman"/>
          <w:kern w:val="0"/>
          <w:lang w:val="uk-UA"/>
        </w:rPr>
        <w:t>усiх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випускiв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 xml:space="preserve">, за якими надається забезпечення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рiчний</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звiт</w:t>
      </w:r>
      <w:proofErr w:type="spellEnd"/>
      <w:r w:rsidRPr="004229C1">
        <w:rPr>
          <w:rFonts w:ascii="Times New Roman" w:hAnsi="Times New Roman" w:cs="Times New Roman"/>
          <w:kern w:val="0"/>
          <w:lang w:val="uk-UA"/>
        </w:rPr>
        <w:t xml:space="preserve"> подається не особою, яка надає забезпечення.</w:t>
      </w:r>
    </w:p>
    <w:p w14:paraId="199A2B0D"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4A72498B"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щодо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надають забезпечення за зобов'язаннями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за зобов'язаннями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надаються забезпечення.</w:t>
      </w:r>
    </w:p>
    <w:p w14:paraId="5CFAC9B4"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315B44A7"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щодо володіння посадовими особами акціями особи – не надається, оскільки посадові особи не володіють акціями Банку</w:t>
      </w:r>
    </w:p>
    <w:p w14:paraId="53A8A37E"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3CCB995B" w14:textId="37C9CC1F"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щодо </w:t>
      </w:r>
      <w:proofErr w:type="spellStart"/>
      <w:r w:rsidRPr="004229C1">
        <w:rPr>
          <w:rFonts w:ascii="Times New Roman" w:hAnsi="Times New Roman" w:cs="Times New Roman"/>
          <w:kern w:val="0"/>
          <w:lang w:val="uk-UA"/>
        </w:rPr>
        <w:t>вартостi</w:t>
      </w:r>
      <w:proofErr w:type="spellEnd"/>
      <w:r w:rsidRPr="004229C1">
        <w:rPr>
          <w:rFonts w:ascii="Times New Roman" w:hAnsi="Times New Roman" w:cs="Times New Roman"/>
          <w:kern w:val="0"/>
          <w:lang w:val="uk-UA"/>
        </w:rPr>
        <w:t xml:space="preserve"> чистих </w:t>
      </w:r>
      <w:proofErr w:type="spellStart"/>
      <w:r w:rsidRPr="004229C1">
        <w:rPr>
          <w:rFonts w:ascii="Times New Roman" w:hAnsi="Times New Roman" w:cs="Times New Roman"/>
          <w:kern w:val="0"/>
          <w:lang w:val="uk-UA"/>
        </w:rPr>
        <w:t>активiв</w:t>
      </w:r>
      <w:proofErr w:type="spellEnd"/>
      <w:r w:rsidRPr="004229C1">
        <w:rPr>
          <w:rFonts w:ascii="Times New Roman" w:hAnsi="Times New Roman" w:cs="Times New Roman"/>
          <w:kern w:val="0"/>
          <w:lang w:val="uk-UA"/>
        </w:rPr>
        <w:t xml:space="preserve"> -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дана </w:t>
      </w: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не заповнюється банками.</w:t>
      </w:r>
    </w:p>
    <w:p w14:paraId="5D7F30B8"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69C71DBC"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обсяги виробництва та </w:t>
      </w:r>
      <w:proofErr w:type="spellStart"/>
      <w:r w:rsidRPr="004229C1">
        <w:rPr>
          <w:rFonts w:ascii="Times New Roman" w:hAnsi="Times New Roman" w:cs="Times New Roman"/>
          <w:kern w:val="0"/>
          <w:lang w:val="uk-UA"/>
        </w:rPr>
        <w:t>реалiзацiї</w:t>
      </w:r>
      <w:proofErr w:type="spellEnd"/>
      <w:r w:rsidRPr="004229C1">
        <w:rPr>
          <w:rFonts w:ascii="Times New Roman" w:hAnsi="Times New Roman" w:cs="Times New Roman"/>
          <w:kern w:val="0"/>
          <w:lang w:val="uk-UA"/>
        </w:rPr>
        <w:t xml:space="preserve"> основних </w:t>
      </w:r>
      <w:proofErr w:type="spellStart"/>
      <w:r w:rsidRPr="004229C1">
        <w:rPr>
          <w:rFonts w:ascii="Times New Roman" w:hAnsi="Times New Roman" w:cs="Times New Roman"/>
          <w:kern w:val="0"/>
          <w:lang w:val="uk-UA"/>
        </w:rPr>
        <w:t>видiв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продукцiї</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w:t>
      </w:r>
      <w:proofErr w:type="spellStart"/>
      <w:r w:rsidRPr="004229C1">
        <w:rPr>
          <w:rFonts w:ascii="Times New Roman" w:hAnsi="Times New Roman" w:cs="Times New Roman"/>
          <w:kern w:val="0"/>
          <w:lang w:val="uk-UA"/>
        </w:rPr>
        <w:t>здiйснює</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банкiвську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дiяльнiсть</w:t>
      </w:r>
      <w:proofErr w:type="spellEnd"/>
      <w:r w:rsidRPr="004229C1">
        <w:rPr>
          <w:rFonts w:ascii="Times New Roman" w:hAnsi="Times New Roman" w:cs="Times New Roman"/>
          <w:kern w:val="0"/>
          <w:lang w:val="uk-UA"/>
        </w:rPr>
        <w:t>.</w:t>
      </w:r>
    </w:p>
    <w:p w14:paraId="16CCA1CC"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2DF89383"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собiвартiсть</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реалiзованої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продукцiї</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w:t>
      </w:r>
      <w:proofErr w:type="spellStart"/>
      <w:r w:rsidRPr="004229C1">
        <w:rPr>
          <w:rFonts w:ascii="Times New Roman" w:hAnsi="Times New Roman" w:cs="Times New Roman"/>
          <w:kern w:val="0"/>
          <w:lang w:val="uk-UA"/>
        </w:rPr>
        <w:t>здiйснює</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банкiвську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дiяльнiсть</w:t>
      </w:r>
      <w:proofErr w:type="spellEnd"/>
      <w:r w:rsidRPr="004229C1">
        <w:rPr>
          <w:rFonts w:ascii="Times New Roman" w:hAnsi="Times New Roman" w:cs="Times New Roman"/>
          <w:kern w:val="0"/>
          <w:lang w:val="uk-UA"/>
        </w:rPr>
        <w:t xml:space="preserve">. </w:t>
      </w:r>
    </w:p>
    <w:p w14:paraId="110483D4" w14:textId="77777777" w:rsidR="00C54B22" w:rsidRPr="004229C1" w:rsidRDefault="00C54B22"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799E0620" w14:textId="1094C547" w:rsidR="007F0477" w:rsidRPr="004229C1" w:rsidRDefault="00C54B22"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Участь в інших юридичних особах – відсутня</w:t>
      </w:r>
    </w:p>
    <w:p w14:paraId="55A54D42" w14:textId="77777777" w:rsidR="00C54B22" w:rsidRPr="004229C1" w:rsidRDefault="00C54B22"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4367C32F" w14:textId="73756484"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змiну</w:t>
      </w:r>
      <w:proofErr w:type="spellEnd"/>
      <w:r w:rsidRPr="004229C1">
        <w:rPr>
          <w:rFonts w:ascii="Times New Roman" w:hAnsi="Times New Roman" w:cs="Times New Roman"/>
          <w:kern w:val="0"/>
          <w:lang w:val="uk-UA"/>
        </w:rPr>
        <w:t xml:space="preserve"> прав на </w:t>
      </w:r>
      <w:proofErr w:type="spellStart"/>
      <w:r w:rsidRPr="004229C1">
        <w:rPr>
          <w:rFonts w:ascii="Times New Roman" w:hAnsi="Times New Roman" w:cs="Times New Roman"/>
          <w:kern w:val="0"/>
          <w:lang w:val="uk-UA"/>
        </w:rPr>
        <w:t>акцiї</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такi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змiни</w:t>
      </w:r>
      <w:proofErr w:type="spellEnd"/>
      <w:r w:rsidRPr="004229C1">
        <w:rPr>
          <w:rFonts w:ascii="Times New Roman" w:hAnsi="Times New Roman" w:cs="Times New Roman"/>
          <w:kern w:val="0"/>
          <w:lang w:val="uk-UA"/>
        </w:rPr>
        <w:t xml:space="preserve"> протягом </w:t>
      </w:r>
      <w:proofErr w:type="spellStart"/>
      <w:r w:rsidRPr="004229C1">
        <w:rPr>
          <w:rFonts w:ascii="Times New Roman" w:hAnsi="Times New Roman" w:cs="Times New Roman"/>
          <w:kern w:val="0"/>
          <w:lang w:val="uk-UA"/>
        </w:rPr>
        <w:t>звiтного</w:t>
      </w:r>
      <w:proofErr w:type="spellEnd"/>
      <w:r w:rsidRPr="004229C1">
        <w:rPr>
          <w:rFonts w:ascii="Times New Roman" w:hAnsi="Times New Roman" w:cs="Times New Roman"/>
          <w:kern w:val="0"/>
          <w:lang w:val="uk-UA"/>
        </w:rPr>
        <w:t xml:space="preserve"> року не </w:t>
      </w:r>
      <w:proofErr w:type="spellStart"/>
      <w:r w:rsidRPr="004229C1">
        <w:rPr>
          <w:rFonts w:ascii="Times New Roman" w:hAnsi="Times New Roman" w:cs="Times New Roman"/>
          <w:kern w:val="0"/>
          <w:lang w:val="uk-UA"/>
        </w:rPr>
        <w:t>вiдбувались</w:t>
      </w:r>
      <w:proofErr w:type="spellEnd"/>
      <w:r w:rsidRPr="004229C1">
        <w:rPr>
          <w:rFonts w:ascii="Times New Roman" w:hAnsi="Times New Roman" w:cs="Times New Roman"/>
          <w:kern w:val="0"/>
          <w:lang w:val="uk-UA"/>
        </w:rPr>
        <w:t>.</w:t>
      </w:r>
    </w:p>
    <w:p w14:paraId="04934AA5" w14:textId="77777777" w:rsidR="00C54B22" w:rsidRPr="004229C1" w:rsidRDefault="00C54B22"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51728526" w14:textId="7907FB34" w:rsidR="00C54B22" w:rsidRPr="004229C1" w:rsidRDefault="00C54B22"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Уточнення щодо наявності обмежень за акціями не надається, оскільки обмежень за звітній період не було.</w:t>
      </w:r>
    </w:p>
    <w:p w14:paraId="616041F4" w14:textId="77777777" w:rsidR="00C54B22" w:rsidRPr="004229C1" w:rsidRDefault="00C54B22"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7EB7C520"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облiгацiї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станом на </w:t>
      </w:r>
      <w:proofErr w:type="spellStart"/>
      <w:r w:rsidRPr="004229C1">
        <w:rPr>
          <w:rFonts w:ascii="Times New Roman" w:hAnsi="Times New Roman" w:cs="Times New Roman"/>
          <w:kern w:val="0"/>
          <w:lang w:val="uk-UA"/>
        </w:rPr>
        <w:t>звiтну</w:t>
      </w:r>
      <w:proofErr w:type="spellEnd"/>
      <w:r w:rsidRPr="004229C1">
        <w:rPr>
          <w:rFonts w:ascii="Times New Roman" w:hAnsi="Times New Roman" w:cs="Times New Roman"/>
          <w:kern w:val="0"/>
          <w:lang w:val="uk-UA"/>
        </w:rPr>
        <w:t xml:space="preserve"> дату непогашених </w:t>
      </w:r>
      <w:proofErr w:type="spellStart"/>
      <w:r w:rsidRPr="004229C1">
        <w:rPr>
          <w:rFonts w:ascii="Times New Roman" w:hAnsi="Times New Roman" w:cs="Times New Roman"/>
          <w:kern w:val="0"/>
          <w:lang w:val="uk-UA"/>
        </w:rPr>
        <w:t>випускiв</w:t>
      </w:r>
      <w:proofErr w:type="spellEnd"/>
      <w:r w:rsidRPr="004229C1">
        <w:rPr>
          <w:rFonts w:ascii="Times New Roman" w:hAnsi="Times New Roman" w:cs="Times New Roman"/>
          <w:kern w:val="0"/>
          <w:lang w:val="uk-UA"/>
        </w:rPr>
        <w:t xml:space="preserve"> процентних </w:t>
      </w:r>
      <w:proofErr w:type="spellStart"/>
      <w:r w:rsidRPr="004229C1">
        <w:rPr>
          <w:rFonts w:ascii="Times New Roman" w:hAnsi="Times New Roman" w:cs="Times New Roman"/>
          <w:kern w:val="0"/>
          <w:lang w:val="uk-UA"/>
        </w:rPr>
        <w:t>облiгацiй</w:t>
      </w:r>
      <w:proofErr w:type="spellEnd"/>
      <w:r w:rsidRPr="004229C1">
        <w:rPr>
          <w:rFonts w:ascii="Times New Roman" w:hAnsi="Times New Roman" w:cs="Times New Roman"/>
          <w:kern w:val="0"/>
          <w:lang w:val="uk-UA"/>
        </w:rPr>
        <w:t xml:space="preserve"> немає. У </w:t>
      </w:r>
      <w:proofErr w:type="spellStart"/>
      <w:r w:rsidRPr="004229C1">
        <w:rPr>
          <w:rFonts w:ascii="Times New Roman" w:hAnsi="Times New Roman" w:cs="Times New Roman"/>
          <w:kern w:val="0"/>
          <w:lang w:val="uk-UA"/>
        </w:rPr>
        <w:t>звiтному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перiодi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облiгацiї</w:t>
      </w:r>
      <w:proofErr w:type="spellEnd"/>
      <w:r w:rsidRPr="004229C1">
        <w:rPr>
          <w:rFonts w:ascii="Times New Roman" w:hAnsi="Times New Roman" w:cs="Times New Roman"/>
          <w:kern w:val="0"/>
          <w:lang w:val="uk-UA"/>
        </w:rPr>
        <w:t xml:space="preserve"> не випускалися.</w:t>
      </w:r>
    </w:p>
    <w:p w14:paraId="6B1261C5"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3B3DBA3A"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iншi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цiннi</w:t>
      </w:r>
      <w:proofErr w:type="spellEnd"/>
      <w:r w:rsidRPr="004229C1">
        <w:rPr>
          <w:rFonts w:ascii="Times New Roman" w:hAnsi="Times New Roman" w:cs="Times New Roman"/>
          <w:kern w:val="0"/>
          <w:lang w:val="uk-UA"/>
        </w:rPr>
        <w:t xml:space="preserve"> папери, </w:t>
      </w:r>
      <w:proofErr w:type="spellStart"/>
      <w:r w:rsidRPr="004229C1">
        <w:rPr>
          <w:rFonts w:ascii="Times New Roman" w:hAnsi="Times New Roman" w:cs="Times New Roman"/>
          <w:kern w:val="0"/>
          <w:lang w:val="uk-UA"/>
        </w:rPr>
        <w:t>випущенi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звiтному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перiодi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iншi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цiннi</w:t>
      </w:r>
      <w:proofErr w:type="spellEnd"/>
      <w:r w:rsidRPr="004229C1">
        <w:rPr>
          <w:rFonts w:ascii="Times New Roman" w:hAnsi="Times New Roman" w:cs="Times New Roman"/>
          <w:kern w:val="0"/>
          <w:lang w:val="uk-UA"/>
        </w:rPr>
        <w:t xml:space="preserve"> папери, випуск яких </w:t>
      </w:r>
      <w:proofErr w:type="spellStart"/>
      <w:r w:rsidRPr="004229C1">
        <w:rPr>
          <w:rFonts w:ascii="Times New Roman" w:hAnsi="Times New Roman" w:cs="Times New Roman"/>
          <w:kern w:val="0"/>
          <w:lang w:val="uk-UA"/>
        </w:rPr>
        <w:t>пiдлягає</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реєстрацiї</w:t>
      </w:r>
      <w:proofErr w:type="spellEnd"/>
      <w:r w:rsidRPr="004229C1">
        <w:rPr>
          <w:rFonts w:ascii="Times New Roman" w:hAnsi="Times New Roman" w:cs="Times New Roman"/>
          <w:kern w:val="0"/>
          <w:lang w:val="uk-UA"/>
        </w:rPr>
        <w:t xml:space="preserve">, не випускалися. </w:t>
      </w:r>
      <w:proofErr w:type="spellStart"/>
      <w:r w:rsidRPr="004229C1">
        <w:rPr>
          <w:rFonts w:ascii="Times New Roman" w:hAnsi="Times New Roman" w:cs="Times New Roman"/>
          <w:kern w:val="0"/>
          <w:lang w:val="uk-UA"/>
        </w:rPr>
        <w:t>Непогашенi</w:t>
      </w:r>
      <w:proofErr w:type="spellEnd"/>
      <w:r w:rsidRPr="004229C1">
        <w:rPr>
          <w:rFonts w:ascii="Times New Roman" w:hAnsi="Times New Roman" w:cs="Times New Roman"/>
          <w:kern w:val="0"/>
          <w:lang w:val="uk-UA"/>
        </w:rPr>
        <w:t xml:space="preserve"> випуски </w:t>
      </w:r>
      <w:proofErr w:type="spellStart"/>
      <w:r w:rsidRPr="004229C1">
        <w:rPr>
          <w:rFonts w:ascii="Times New Roman" w:hAnsi="Times New Roman" w:cs="Times New Roman"/>
          <w:kern w:val="0"/>
          <w:lang w:val="uk-UA"/>
        </w:rPr>
        <w:t>вiдсутнi</w:t>
      </w:r>
      <w:proofErr w:type="spellEnd"/>
      <w:r w:rsidRPr="004229C1">
        <w:rPr>
          <w:rFonts w:ascii="Times New Roman" w:hAnsi="Times New Roman" w:cs="Times New Roman"/>
          <w:kern w:val="0"/>
          <w:lang w:val="uk-UA"/>
        </w:rPr>
        <w:t>.</w:t>
      </w:r>
    </w:p>
    <w:p w14:paraId="01611192" w14:textId="77777777" w:rsidR="00C54B22" w:rsidRPr="004229C1" w:rsidRDefault="00C54B22"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4A1E200E"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деривативнi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цiннi</w:t>
      </w:r>
      <w:proofErr w:type="spellEnd"/>
      <w:r w:rsidRPr="004229C1">
        <w:rPr>
          <w:rFonts w:ascii="Times New Roman" w:hAnsi="Times New Roman" w:cs="Times New Roman"/>
          <w:kern w:val="0"/>
          <w:lang w:val="uk-UA"/>
        </w:rPr>
        <w:t xml:space="preserve"> папери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звiтному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перiодi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дерива-тивнi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цiннi</w:t>
      </w:r>
      <w:proofErr w:type="spellEnd"/>
      <w:r w:rsidRPr="004229C1">
        <w:rPr>
          <w:rFonts w:ascii="Times New Roman" w:hAnsi="Times New Roman" w:cs="Times New Roman"/>
          <w:kern w:val="0"/>
          <w:lang w:val="uk-UA"/>
        </w:rPr>
        <w:t xml:space="preserve"> папери не випускалися. </w:t>
      </w:r>
      <w:proofErr w:type="spellStart"/>
      <w:r w:rsidRPr="004229C1">
        <w:rPr>
          <w:rFonts w:ascii="Times New Roman" w:hAnsi="Times New Roman" w:cs="Times New Roman"/>
          <w:kern w:val="0"/>
          <w:lang w:val="uk-UA"/>
        </w:rPr>
        <w:t>Непогашенi</w:t>
      </w:r>
      <w:proofErr w:type="spellEnd"/>
      <w:r w:rsidRPr="004229C1">
        <w:rPr>
          <w:rFonts w:ascii="Times New Roman" w:hAnsi="Times New Roman" w:cs="Times New Roman"/>
          <w:kern w:val="0"/>
          <w:lang w:val="uk-UA"/>
        </w:rPr>
        <w:t xml:space="preserve"> випуски </w:t>
      </w:r>
      <w:proofErr w:type="spellStart"/>
      <w:r w:rsidRPr="004229C1">
        <w:rPr>
          <w:rFonts w:ascii="Times New Roman" w:hAnsi="Times New Roman" w:cs="Times New Roman"/>
          <w:kern w:val="0"/>
          <w:lang w:val="uk-UA"/>
        </w:rPr>
        <w:t>вiдсутнi</w:t>
      </w:r>
      <w:proofErr w:type="spellEnd"/>
      <w:r w:rsidRPr="004229C1">
        <w:rPr>
          <w:rFonts w:ascii="Times New Roman" w:hAnsi="Times New Roman" w:cs="Times New Roman"/>
          <w:kern w:val="0"/>
          <w:lang w:val="uk-UA"/>
        </w:rPr>
        <w:t>.</w:t>
      </w:r>
    </w:p>
    <w:p w14:paraId="5526F9A2" w14:textId="77777777" w:rsidR="00D32407" w:rsidRPr="004229C1" w:rsidRDefault="00D3240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00C0A2E4"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забезпечення випуску боргових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звiтному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перiодi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забезпеченi</w:t>
      </w:r>
      <w:proofErr w:type="spellEnd"/>
      <w:r w:rsidRPr="004229C1">
        <w:rPr>
          <w:rFonts w:ascii="Times New Roman" w:hAnsi="Times New Roman" w:cs="Times New Roman"/>
          <w:kern w:val="0"/>
          <w:lang w:val="uk-UA"/>
        </w:rPr>
        <w:t xml:space="preserve"> випуски боргових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 xml:space="preserve"> не випускалися. </w:t>
      </w:r>
      <w:proofErr w:type="spellStart"/>
      <w:r w:rsidRPr="004229C1">
        <w:rPr>
          <w:rFonts w:ascii="Times New Roman" w:hAnsi="Times New Roman" w:cs="Times New Roman"/>
          <w:kern w:val="0"/>
          <w:lang w:val="uk-UA"/>
        </w:rPr>
        <w:t>Непогашенi</w:t>
      </w:r>
      <w:proofErr w:type="spellEnd"/>
      <w:r w:rsidRPr="004229C1">
        <w:rPr>
          <w:rFonts w:ascii="Times New Roman" w:hAnsi="Times New Roman" w:cs="Times New Roman"/>
          <w:kern w:val="0"/>
          <w:lang w:val="uk-UA"/>
        </w:rPr>
        <w:t xml:space="preserve"> випуски </w:t>
      </w:r>
      <w:proofErr w:type="spellStart"/>
      <w:r w:rsidRPr="004229C1">
        <w:rPr>
          <w:rFonts w:ascii="Times New Roman" w:hAnsi="Times New Roman" w:cs="Times New Roman"/>
          <w:kern w:val="0"/>
          <w:lang w:val="uk-UA"/>
        </w:rPr>
        <w:t>вiдсутнi</w:t>
      </w:r>
      <w:proofErr w:type="spellEnd"/>
      <w:r w:rsidRPr="004229C1">
        <w:rPr>
          <w:rFonts w:ascii="Times New Roman" w:hAnsi="Times New Roman" w:cs="Times New Roman"/>
          <w:kern w:val="0"/>
          <w:lang w:val="uk-UA"/>
        </w:rPr>
        <w:t>.</w:t>
      </w:r>
    </w:p>
    <w:p w14:paraId="7935A438"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19E9FCAC"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Звiт</w:t>
      </w:r>
      <w:proofErr w:type="spellEnd"/>
      <w:r w:rsidRPr="004229C1">
        <w:rPr>
          <w:rFonts w:ascii="Times New Roman" w:hAnsi="Times New Roman" w:cs="Times New Roman"/>
          <w:kern w:val="0"/>
          <w:lang w:val="uk-UA"/>
        </w:rPr>
        <w:t xml:space="preserve"> про стан об'єкта </w:t>
      </w:r>
      <w:proofErr w:type="spellStart"/>
      <w:r w:rsidRPr="004229C1">
        <w:rPr>
          <w:rFonts w:ascii="Times New Roman" w:hAnsi="Times New Roman" w:cs="Times New Roman"/>
          <w:kern w:val="0"/>
          <w:lang w:val="uk-UA"/>
        </w:rPr>
        <w:t>нерухомостi</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разi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емiсiї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цiльових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облiгацiй</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пiдприємств</w:t>
      </w:r>
      <w:proofErr w:type="spellEnd"/>
      <w:r w:rsidRPr="004229C1">
        <w:rPr>
          <w:rFonts w:ascii="Times New Roman" w:hAnsi="Times New Roman" w:cs="Times New Roman"/>
          <w:kern w:val="0"/>
          <w:lang w:val="uk-UA"/>
        </w:rPr>
        <w:t xml:space="preserve">, виконання зобов'язань за якими </w:t>
      </w:r>
      <w:proofErr w:type="spellStart"/>
      <w:r w:rsidRPr="004229C1">
        <w:rPr>
          <w:rFonts w:ascii="Times New Roman" w:hAnsi="Times New Roman" w:cs="Times New Roman"/>
          <w:kern w:val="0"/>
          <w:lang w:val="uk-UA"/>
        </w:rPr>
        <w:t>здiйснюється</w:t>
      </w:r>
      <w:proofErr w:type="spellEnd"/>
      <w:r w:rsidRPr="004229C1">
        <w:rPr>
          <w:rFonts w:ascii="Times New Roman" w:hAnsi="Times New Roman" w:cs="Times New Roman"/>
          <w:kern w:val="0"/>
          <w:lang w:val="uk-UA"/>
        </w:rPr>
        <w:t xml:space="preserve"> шляхом передання об'єкта (частини об'єкта) житлового </w:t>
      </w:r>
      <w:proofErr w:type="spellStart"/>
      <w:r w:rsidRPr="004229C1">
        <w:rPr>
          <w:rFonts w:ascii="Times New Roman" w:hAnsi="Times New Roman" w:cs="Times New Roman"/>
          <w:kern w:val="0"/>
          <w:lang w:val="uk-UA"/>
        </w:rPr>
        <w:t>будiвництва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не є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цiльових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облiгацiй</w:t>
      </w:r>
      <w:proofErr w:type="spellEnd"/>
      <w:r w:rsidRPr="004229C1">
        <w:rPr>
          <w:rFonts w:ascii="Times New Roman" w:hAnsi="Times New Roman" w:cs="Times New Roman"/>
          <w:kern w:val="0"/>
          <w:lang w:val="uk-UA"/>
        </w:rPr>
        <w:t xml:space="preserve"> виконання зобов'язань за якими </w:t>
      </w:r>
      <w:proofErr w:type="spellStart"/>
      <w:r w:rsidRPr="004229C1">
        <w:rPr>
          <w:rFonts w:ascii="Times New Roman" w:hAnsi="Times New Roman" w:cs="Times New Roman"/>
          <w:kern w:val="0"/>
          <w:lang w:val="uk-UA"/>
        </w:rPr>
        <w:t>здiйснюється</w:t>
      </w:r>
      <w:proofErr w:type="spellEnd"/>
      <w:r w:rsidRPr="004229C1">
        <w:rPr>
          <w:rFonts w:ascii="Times New Roman" w:hAnsi="Times New Roman" w:cs="Times New Roman"/>
          <w:kern w:val="0"/>
          <w:lang w:val="uk-UA"/>
        </w:rPr>
        <w:t xml:space="preserve"> шляхом передання об'єкта (частини об'єкта) житлового </w:t>
      </w:r>
      <w:proofErr w:type="spellStart"/>
      <w:r w:rsidRPr="004229C1">
        <w:rPr>
          <w:rFonts w:ascii="Times New Roman" w:hAnsi="Times New Roman" w:cs="Times New Roman"/>
          <w:kern w:val="0"/>
          <w:lang w:val="uk-UA"/>
        </w:rPr>
        <w:t>будiвництва</w:t>
      </w:r>
      <w:proofErr w:type="spellEnd"/>
      <w:r w:rsidRPr="004229C1">
        <w:rPr>
          <w:rFonts w:ascii="Times New Roman" w:hAnsi="Times New Roman" w:cs="Times New Roman"/>
          <w:kern w:val="0"/>
          <w:lang w:val="uk-UA"/>
        </w:rPr>
        <w:t>).</w:t>
      </w:r>
    </w:p>
    <w:p w14:paraId="60BCBAEC" w14:textId="77777777" w:rsidR="00D32407" w:rsidRPr="004229C1" w:rsidRDefault="00D3240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408F08F5"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придбання власних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протягом </w:t>
      </w:r>
      <w:proofErr w:type="spellStart"/>
      <w:r w:rsidRPr="004229C1">
        <w:rPr>
          <w:rFonts w:ascii="Times New Roman" w:hAnsi="Times New Roman" w:cs="Times New Roman"/>
          <w:kern w:val="0"/>
          <w:lang w:val="uk-UA"/>
        </w:rPr>
        <w:t>звiтного</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перiоду</w:t>
      </w:r>
      <w:proofErr w:type="spellEnd"/>
      <w:r w:rsidRPr="004229C1">
        <w:rPr>
          <w:rFonts w:ascii="Times New Roman" w:hAnsi="Times New Roman" w:cs="Times New Roman"/>
          <w:kern w:val="0"/>
          <w:lang w:val="uk-UA"/>
        </w:rPr>
        <w:t xml:space="preserve"> не подається,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таке придбання не </w:t>
      </w:r>
      <w:proofErr w:type="spellStart"/>
      <w:r w:rsidRPr="004229C1">
        <w:rPr>
          <w:rFonts w:ascii="Times New Roman" w:hAnsi="Times New Roman" w:cs="Times New Roman"/>
          <w:kern w:val="0"/>
          <w:lang w:val="uk-UA"/>
        </w:rPr>
        <w:t>вiдбувалось</w:t>
      </w:r>
      <w:proofErr w:type="spellEnd"/>
      <w:r w:rsidRPr="004229C1">
        <w:rPr>
          <w:rFonts w:ascii="Times New Roman" w:hAnsi="Times New Roman" w:cs="Times New Roman"/>
          <w:kern w:val="0"/>
          <w:lang w:val="uk-UA"/>
        </w:rPr>
        <w:t>.</w:t>
      </w:r>
    </w:p>
    <w:p w14:paraId="4A577ADE"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191164A7"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наявнiсть</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власностi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працiвникiв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крiм</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такого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не є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iнших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w:t>
      </w:r>
    </w:p>
    <w:p w14:paraId="4C1C3D59" w14:textId="77777777" w:rsidR="007E7E5D" w:rsidRPr="004229C1" w:rsidRDefault="007E7E5D"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4B4F1184"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наявнiсть</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власностi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працiвникiв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розмiрi</w:t>
      </w:r>
      <w:proofErr w:type="spellEnd"/>
      <w:r w:rsidRPr="004229C1">
        <w:rPr>
          <w:rFonts w:ascii="Times New Roman" w:hAnsi="Times New Roman" w:cs="Times New Roman"/>
          <w:kern w:val="0"/>
          <w:lang w:val="uk-UA"/>
        </w:rPr>
        <w:t xml:space="preserve"> понад 0,1 </w:t>
      </w:r>
      <w:proofErr w:type="spellStart"/>
      <w:r w:rsidRPr="004229C1">
        <w:rPr>
          <w:rFonts w:ascii="Times New Roman" w:hAnsi="Times New Roman" w:cs="Times New Roman"/>
          <w:kern w:val="0"/>
          <w:lang w:val="uk-UA"/>
        </w:rPr>
        <w:t>вiдсотка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розмiру</w:t>
      </w:r>
      <w:proofErr w:type="spellEnd"/>
      <w:r w:rsidRPr="004229C1">
        <w:rPr>
          <w:rFonts w:ascii="Times New Roman" w:hAnsi="Times New Roman" w:cs="Times New Roman"/>
          <w:kern w:val="0"/>
          <w:lang w:val="uk-UA"/>
        </w:rPr>
        <w:t xml:space="preserve"> статутного </w:t>
      </w:r>
      <w:proofErr w:type="spellStart"/>
      <w:r w:rsidRPr="004229C1">
        <w:rPr>
          <w:rFonts w:ascii="Times New Roman" w:hAnsi="Times New Roman" w:cs="Times New Roman"/>
          <w:kern w:val="0"/>
          <w:lang w:val="uk-UA"/>
        </w:rPr>
        <w:t>капiталу</w:t>
      </w:r>
      <w:proofErr w:type="spellEnd"/>
      <w:r w:rsidRPr="004229C1">
        <w:rPr>
          <w:rFonts w:ascii="Times New Roman" w:hAnsi="Times New Roman" w:cs="Times New Roman"/>
          <w:kern w:val="0"/>
          <w:lang w:val="uk-UA"/>
        </w:rPr>
        <w:t xml:space="preserve"> такого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вiдсутнi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такi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працiвники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володiють</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акцiями</w:t>
      </w:r>
      <w:proofErr w:type="spellEnd"/>
      <w:r w:rsidRPr="004229C1">
        <w:rPr>
          <w:rFonts w:ascii="Times New Roman" w:hAnsi="Times New Roman" w:cs="Times New Roman"/>
          <w:kern w:val="0"/>
          <w:lang w:val="uk-UA"/>
        </w:rPr>
        <w:t xml:space="preserve"> Банку у </w:t>
      </w:r>
      <w:proofErr w:type="spellStart"/>
      <w:r w:rsidRPr="004229C1">
        <w:rPr>
          <w:rFonts w:ascii="Times New Roman" w:hAnsi="Times New Roman" w:cs="Times New Roman"/>
          <w:kern w:val="0"/>
          <w:lang w:val="uk-UA"/>
        </w:rPr>
        <w:t>розмiрi</w:t>
      </w:r>
      <w:proofErr w:type="spellEnd"/>
      <w:r w:rsidRPr="004229C1">
        <w:rPr>
          <w:rFonts w:ascii="Times New Roman" w:hAnsi="Times New Roman" w:cs="Times New Roman"/>
          <w:kern w:val="0"/>
          <w:lang w:val="uk-UA"/>
        </w:rPr>
        <w:t xml:space="preserve"> понад 0,1 </w:t>
      </w:r>
      <w:proofErr w:type="spellStart"/>
      <w:r w:rsidRPr="004229C1">
        <w:rPr>
          <w:rFonts w:ascii="Times New Roman" w:hAnsi="Times New Roman" w:cs="Times New Roman"/>
          <w:kern w:val="0"/>
          <w:lang w:val="uk-UA"/>
        </w:rPr>
        <w:t>вiдсотка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розмiру</w:t>
      </w:r>
      <w:proofErr w:type="spellEnd"/>
      <w:r w:rsidRPr="004229C1">
        <w:rPr>
          <w:rFonts w:ascii="Times New Roman" w:hAnsi="Times New Roman" w:cs="Times New Roman"/>
          <w:kern w:val="0"/>
          <w:lang w:val="uk-UA"/>
        </w:rPr>
        <w:t xml:space="preserve"> його статутного </w:t>
      </w:r>
      <w:proofErr w:type="spellStart"/>
      <w:r w:rsidRPr="004229C1">
        <w:rPr>
          <w:rFonts w:ascii="Times New Roman" w:hAnsi="Times New Roman" w:cs="Times New Roman"/>
          <w:kern w:val="0"/>
          <w:lang w:val="uk-UA"/>
        </w:rPr>
        <w:t>капiталу</w:t>
      </w:r>
      <w:proofErr w:type="spellEnd"/>
      <w:r w:rsidRPr="004229C1">
        <w:rPr>
          <w:rFonts w:ascii="Times New Roman" w:hAnsi="Times New Roman" w:cs="Times New Roman"/>
          <w:kern w:val="0"/>
          <w:lang w:val="uk-UA"/>
        </w:rPr>
        <w:t>.</w:t>
      </w:r>
    </w:p>
    <w:p w14:paraId="4BBEE2A7" w14:textId="77777777" w:rsidR="00D32407" w:rsidRPr="004229C1" w:rsidRDefault="00D3240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335FCD4B" w14:textId="3257CF53" w:rsidR="007F0477" w:rsidRPr="004229C1" w:rsidRDefault="00D32407"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 не надається, оскільки такі обмеження відсутні.</w:t>
      </w:r>
    </w:p>
    <w:p w14:paraId="66A93D46" w14:textId="77777777" w:rsidR="00D32407" w:rsidRPr="004229C1" w:rsidRDefault="00D32407"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77118C05"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змiну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акцiонерiв</w:t>
      </w:r>
      <w:proofErr w:type="spellEnd"/>
      <w:r w:rsidRPr="004229C1">
        <w:rPr>
          <w:rFonts w:ascii="Times New Roman" w:hAnsi="Times New Roman" w:cs="Times New Roman"/>
          <w:kern w:val="0"/>
          <w:lang w:val="uk-UA"/>
        </w:rPr>
        <w:t xml:space="preserve">, яким належать </w:t>
      </w:r>
      <w:proofErr w:type="spellStart"/>
      <w:r w:rsidRPr="004229C1">
        <w:rPr>
          <w:rFonts w:ascii="Times New Roman" w:hAnsi="Times New Roman" w:cs="Times New Roman"/>
          <w:kern w:val="0"/>
          <w:lang w:val="uk-UA"/>
        </w:rPr>
        <w:t>голосуючi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розмiр</w:t>
      </w:r>
      <w:proofErr w:type="spellEnd"/>
      <w:r w:rsidRPr="004229C1">
        <w:rPr>
          <w:rFonts w:ascii="Times New Roman" w:hAnsi="Times New Roman" w:cs="Times New Roman"/>
          <w:kern w:val="0"/>
          <w:lang w:val="uk-UA"/>
        </w:rPr>
        <w:t xml:space="preserve"> пакета яких стає </w:t>
      </w:r>
      <w:proofErr w:type="spellStart"/>
      <w:r w:rsidRPr="004229C1">
        <w:rPr>
          <w:rFonts w:ascii="Times New Roman" w:hAnsi="Times New Roman" w:cs="Times New Roman"/>
          <w:kern w:val="0"/>
          <w:lang w:val="uk-UA"/>
        </w:rPr>
        <w:t>бiльшим</w:t>
      </w:r>
      <w:proofErr w:type="spellEnd"/>
      <w:r w:rsidRPr="004229C1">
        <w:rPr>
          <w:rFonts w:ascii="Times New Roman" w:hAnsi="Times New Roman" w:cs="Times New Roman"/>
          <w:kern w:val="0"/>
          <w:lang w:val="uk-UA"/>
        </w:rPr>
        <w:t xml:space="preserve">, меншим або </w:t>
      </w:r>
      <w:proofErr w:type="spellStart"/>
      <w:r w:rsidRPr="004229C1">
        <w:rPr>
          <w:rFonts w:ascii="Times New Roman" w:hAnsi="Times New Roman" w:cs="Times New Roman"/>
          <w:kern w:val="0"/>
          <w:lang w:val="uk-UA"/>
        </w:rPr>
        <w:t>рiвним</w:t>
      </w:r>
      <w:proofErr w:type="spellEnd"/>
      <w:r w:rsidRPr="004229C1">
        <w:rPr>
          <w:rFonts w:ascii="Times New Roman" w:hAnsi="Times New Roman" w:cs="Times New Roman"/>
          <w:kern w:val="0"/>
          <w:lang w:val="uk-UA"/>
        </w:rPr>
        <w:t xml:space="preserve"> пороговому значенню пакета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такi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змiни</w:t>
      </w:r>
      <w:proofErr w:type="spellEnd"/>
      <w:r w:rsidRPr="004229C1">
        <w:rPr>
          <w:rFonts w:ascii="Times New Roman" w:hAnsi="Times New Roman" w:cs="Times New Roman"/>
          <w:kern w:val="0"/>
          <w:lang w:val="uk-UA"/>
        </w:rPr>
        <w:t xml:space="preserve"> протягом </w:t>
      </w:r>
      <w:proofErr w:type="spellStart"/>
      <w:r w:rsidRPr="004229C1">
        <w:rPr>
          <w:rFonts w:ascii="Times New Roman" w:hAnsi="Times New Roman" w:cs="Times New Roman"/>
          <w:kern w:val="0"/>
          <w:lang w:val="uk-UA"/>
        </w:rPr>
        <w:t>звiтного</w:t>
      </w:r>
      <w:proofErr w:type="spellEnd"/>
      <w:r w:rsidRPr="004229C1">
        <w:rPr>
          <w:rFonts w:ascii="Times New Roman" w:hAnsi="Times New Roman" w:cs="Times New Roman"/>
          <w:kern w:val="0"/>
          <w:lang w:val="uk-UA"/>
        </w:rPr>
        <w:t xml:space="preserve"> року не </w:t>
      </w:r>
      <w:proofErr w:type="spellStart"/>
      <w:r w:rsidRPr="004229C1">
        <w:rPr>
          <w:rFonts w:ascii="Times New Roman" w:hAnsi="Times New Roman" w:cs="Times New Roman"/>
          <w:kern w:val="0"/>
          <w:lang w:val="uk-UA"/>
        </w:rPr>
        <w:t>вiдбувались</w:t>
      </w:r>
      <w:proofErr w:type="spellEnd"/>
      <w:r w:rsidRPr="004229C1">
        <w:rPr>
          <w:rFonts w:ascii="Times New Roman" w:hAnsi="Times New Roman" w:cs="Times New Roman"/>
          <w:kern w:val="0"/>
          <w:lang w:val="uk-UA"/>
        </w:rPr>
        <w:t>.</w:t>
      </w:r>
    </w:p>
    <w:p w14:paraId="3AF12548"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
    <w:p w14:paraId="77358BFB"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змiну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яким належить право голосу за </w:t>
      </w:r>
      <w:proofErr w:type="spellStart"/>
      <w:r w:rsidRPr="004229C1">
        <w:rPr>
          <w:rFonts w:ascii="Times New Roman" w:hAnsi="Times New Roman" w:cs="Times New Roman"/>
          <w:kern w:val="0"/>
          <w:lang w:val="uk-UA"/>
        </w:rPr>
        <w:t>акцiями</w:t>
      </w:r>
      <w:proofErr w:type="spellEnd"/>
      <w:r w:rsidRPr="004229C1">
        <w:rPr>
          <w:rFonts w:ascii="Times New Roman" w:hAnsi="Times New Roman" w:cs="Times New Roman"/>
          <w:kern w:val="0"/>
          <w:lang w:val="uk-UA"/>
        </w:rPr>
        <w:t xml:space="preserve">, сумарна </w:t>
      </w:r>
      <w:proofErr w:type="spellStart"/>
      <w:r w:rsidRPr="004229C1">
        <w:rPr>
          <w:rFonts w:ascii="Times New Roman" w:hAnsi="Times New Roman" w:cs="Times New Roman"/>
          <w:kern w:val="0"/>
          <w:lang w:val="uk-UA"/>
        </w:rPr>
        <w:t>кiлькiсть</w:t>
      </w:r>
      <w:proofErr w:type="spellEnd"/>
      <w:r w:rsidRPr="004229C1">
        <w:rPr>
          <w:rFonts w:ascii="Times New Roman" w:hAnsi="Times New Roman" w:cs="Times New Roman"/>
          <w:kern w:val="0"/>
          <w:lang w:val="uk-UA"/>
        </w:rPr>
        <w:t xml:space="preserve"> прав за якими стає </w:t>
      </w:r>
      <w:proofErr w:type="spellStart"/>
      <w:r w:rsidRPr="004229C1">
        <w:rPr>
          <w:rFonts w:ascii="Times New Roman" w:hAnsi="Times New Roman" w:cs="Times New Roman"/>
          <w:kern w:val="0"/>
          <w:lang w:val="uk-UA"/>
        </w:rPr>
        <w:t>бiльшою</w:t>
      </w:r>
      <w:proofErr w:type="spellEnd"/>
      <w:r w:rsidRPr="004229C1">
        <w:rPr>
          <w:rFonts w:ascii="Times New Roman" w:hAnsi="Times New Roman" w:cs="Times New Roman"/>
          <w:kern w:val="0"/>
          <w:lang w:val="uk-UA"/>
        </w:rPr>
        <w:t xml:space="preserve">, меншою або </w:t>
      </w:r>
      <w:proofErr w:type="spellStart"/>
      <w:r w:rsidRPr="004229C1">
        <w:rPr>
          <w:rFonts w:ascii="Times New Roman" w:hAnsi="Times New Roman" w:cs="Times New Roman"/>
          <w:kern w:val="0"/>
          <w:lang w:val="uk-UA"/>
        </w:rPr>
        <w:t>рiвною</w:t>
      </w:r>
      <w:proofErr w:type="spellEnd"/>
      <w:r w:rsidRPr="004229C1">
        <w:rPr>
          <w:rFonts w:ascii="Times New Roman" w:hAnsi="Times New Roman" w:cs="Times New Roman"/>
          <w:kern w:val="0"/>
          <w:lang w:val="uk-UA"/>
        </w:rPr>
        <w:t xml:space="preserve"> пороговому значенню пакета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такi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змiни</w:t>
      </w:r>
      <w:proofErr w:type="spellEnd"/>
      <w:r w:rsidRPr="004229C1">
        <w:rPr>
          <w:rFonts w:ascii="Times New Roman" w:hAnsi="Times New Roman" w:cs="Times New Roman"/>
          <w:kern w:val="0"/>
          <w:lang w:val="uk-UA"/>
        </w:rPr>
        <w:t xml:space="preserve"> протягом </w:t>
      </w:r>
      <w:proofErr w:type="spellStart"/>
      <w:r w:rsidRPr="004229C1">
        <w:rPr>
          <w:rFonts w:ascii="Times New Roman" w:hAnsi="Times New Roman" w:cs="Times New Roman"/>
          <w:kern w:val="0"/>
          <w:lang w:val="uk-UA"/>
        </w:rPr>
        <w:t>звiтного</w:t>
      </w:r>
      <w:proofErr w:type="spellEnd"/>
      <w:r w:rsidRPr="004229C1">
        <w:rPr>
          <w:rFonts w:ascii="Times New Roman" w:hAnsi="Times New Roman" w:cs="Times New Roman"/>
          <w:kern w:val="0"/>
          <w:lang w:val="uk-UA"/>
        </w:rPr>
        <w:t xml:space="preserve"> року не </w:t>
      </w:r>
      <w:proofErr w:type="spellStart"/>
      <w:r w:rsidRPr="004229C1">
        <w:rPr>
          <w:rFonts w:ascii="Times New Roman" w:hAnsi="Times New Roman" w:cs="Times New Roman"/>
          <w:kern w:val="0"/>
          <w:lang w:val="uk-UA"/>
        </w:rPr>
        <w:t>вiдбувались</w:t>
      </w:r>
      <w:proofErr w:type="spellEnd"/>
      <w:r w:rsidRPr="004229C1">
        <w:rPr>
          <w:rFonts w:ascii="Times New Roman" w:hAnsi="Times New Roman" w:cs="Times New Roman"/>
          <w:kern w:val="0"/>
          <w:lang w:val="uk-UA"/>
        </w:rPr>
        <w:t>.</w:t>
      </w:r>
    </w:p>
    <w:p w14:paraId="79BFF139"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
    <w:p w14:paraId="5C48193D" w14:textId="53BB8796"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змiну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є власниками </w:t>
      </w:r>
      <w:proofErr w:type="spellStart"/>
      <w:r w:rsidRPr="004229C1">
        <w:rPr>
          <w:rFonts w:ascii="Times New Roman" w:hAnsi="Times New Roman" w:cs="Times New Roman"/>
          <w:kern w:val="0"/>
          <w:lang w:val="uk-UA"/>
        </w:rPr>
        <w:t>фiнансових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iнструментiв</w:t>
      </w:r>
      <w:proofErr w:type="spellEnd"/>
      <w:r w:rsidRPr="004229C1">
        <w:rPr>
          <w:rFonts w:ascii="Times New Roman" w:hAnsi="Times New Roman" w:cs="Times New Roman"/>
          <w:kern w:val="0"/>
          <w:lang w:val="uk-UA"/>
        </w:rPr>
        <w:t xml:space="preserve">, пов'язаних з голосуючими </w:t>
      </w:r>
      <w:proofErr w:type="spellStart"/>
      <w:r w:rsidRPr="004229C1">
        <w:rPr>
          <w:rFonts w:ascii="Times New Roman" w:hAnsi="Times New Roman" w:cs="Times New Roman"/>
          <w:kern w:val="0"/>
          <w:lang w:val="uk-UA"/>
        </w:rPr>
        <w:t>акцiями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акцiонерного</w:t>
      </w:r>
      <w:proofErr w:type="spellEnd"/>
      <w:r w:rsidRPr="004229C1">
        <w:rPr>
          <w:rFonts w:ascii="Times New Roman" w:hAnsi="Times New Roman" w:cs="Times New Roman"/>
          <w:kern w:val="0"/>
          <w:lang w:val="uk-UA"/>
        </w:rPr>
        <w:t xml:space="preserve"> товариства, у </w:t>
      </w:r>
      <w:proofErr w:type="spellStart"/>
      <w:r w:rsidRPr="004229C1">
        <w:rPr>
          <w:rFonts w:ascii="Times New Roman" w:hAnsi="Times New Roman" w:cs="Times New Roman"/>
          <w:kern w:val="0"/>
          <w:lang w:val="uk-UA"/>
        </w:rPr>
        <w:t>разi</w:t>
      </w:r>
      <w:proofErr w:type="spellEnd"/>
      <w:r w:rsidRPr="004229C1">
        <w:rPr>
          <w:rFonts w:ascii="Times New Roman" w:hAnsi="Times New Roman" w:cs="Times New Roman"/>
          <w:kern w:val="0"/>
          <w:lang w:val="uk-UA"/>
        </w:rPr>
        <w:t xml:space="preserve">, якщо сумарна </w:t>
      </w:r>
      <w:proofErr w:type="spellStart"/>
      <w:r w:rsidRPr="004229C1">
        <w:rPr>
          <w:rFonts w:ascii="Times New Roman" w:hAnsi="Times New Roman" w:cs="Times New Roman"/>
          <w:kern w:val="0"/>
          <w:lang w:val="uk-UA"/>
        </w:rPr>
        <w:t>кiлькiсть</w:t>
      </w:r>
      <w:proofErr w:type="spellEnd"/>
      <w:r w:rsidRPr="004229C1">
        <w:rPr>
          <w:rFonts w:ascii="Times New Roman" w:hAnsi="Times New Roman" w:cs="Times New Roman"/>
          <w:kern w:val="0"/>
          <w:lang w:val="uk-UA"/>
        </w:rPr>
        <w:t xml:space="preserve"> прав за такими </w:t>
      </w:r>
      <w:proofErr w:type="spellStart"/>
      <w:r w:rsidRPr="004229C1">
        <w:rPr>
          <w:rFonts w:ascii="Times New Roman" w:hAnsi="Times New Roman" w:cs="Times New Roman"/>
          <w:kern w:val="0"/>
          <w:lang w:val="uk-UA"/>
        </w:rPr>
        <w:t>акцiями</w:t>
      </w:r>
      <w:proofErr w:type="spellEnd"/>
      <w:r w:rsidRPr="004229C1">
        <w:rPr>
          <w:rFonts w:ascii="Times New Roman" w:hAnsi="Times New Roman" w:cs="Times New Roman"/>
          <w:kern w:val="0"/>
          <w:lang w:val="uk-UA"/>
        </w:rPr>
        <w:t xml:space="preserve"> стає </w:t>
      </w:r>
      <w:proofErr w:type="spellStart"/>
      <w:r w:rsidRPr="004229C1">
        <w:rPr>
          <w:rFonts w:ascii="Times New Roman" w:hAnsi="Times New Roman" w:cs="Times New Roman"/>
          <w:kern w:val="0"/>
          <w:lang w:val="uk-UA"/>
        </w:rPr>
        <w:t>бiльшою</w:t>
      </w:r>
      <w:proofErr w:type="spellEnd"/>
      <w:r w:rsidRPr="004229C1">
        <w:rPr>
          <w:rFonts w:ascii="Times New Roman" w:hAnsi="Times New Roman" w:cs="Times New Roman"/>
          <w:kern w:val="0"/>
          <w:lang w:val="uk-UA"/>
        </w:rPr>
        <w:t xml:space="preserve">, меншою або </w:t>
      </w:r>
      <w:proofErr w:type="spellStart"/>
      <w:r w:rsidRPr="004229C1">
        <w:rPr>
          <w:rFonts w:ascii="Times New Roman" w:hAnsi="Times New Roman" w:cs="Times New Roman"/>
          <w:kern w:val="0"/>
          <w:lang w:val="uk-UA"/>
        </w:rPr>
        <w:t>рiвною</w:t>
      </w:r>
      <w:proofErr w:type="spellEnd"/>
      <w:r w:rsidRPr="004229C1">
        <w:rPr>
          <w:rFonts w:ascii="Times New Roman" w:hAnsi="Times New Roman" w:cs="Times New Roman"/>
          <w:kern w:val="0"/>
          <w:lang w:val="uk-UA"/>
        </w:rPr>
        <w:t xml:space="preserve"> пороговому значенню пакета </w:t>
      </w:r>
      <w:proofErr w:type="spellStart"/>
      <w:r w:rsidRPr="004229C1">
        <w:rPr>
          <w:rFonts w:ascii="Times New Roman" w:hAnsi="Times New Roman" w:cs="Times New Roman"/>
          <w:kern w:val="0"/>
          <w:lang w:val="uk-UA"/>
        </w:rPr>
        <w:t>акцiй</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такi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змiни</w:t>
      </w:r>
      <w:proofErr w:type="spellEnd"/>
      <w:r w:rsidRPr="004229C1">
        <w:rPr>
          <w:rFonts w:ascii="Times New Roman" w:hAnsi="Times New Roman" w:cs="Times New Roman"/>
          <w:kern w:val="0"/>
          <w:lang w:val="uk-UA"/>
        </w:rPr>
        <w:t xml:space="preserve"> протягом </w:t>
      </w:r>
      <w:proofErr w:type="spellStart"/>
      <w:r w:rsidRPr="004229C1">
        <w:rPr>
          <w:rFonts w:ascii="Times New Roman" w:hAnsi="Times New Roman" w:cs="Times New Roman"/>
          <w:kern w:val="0"/>
          <w:lang w:val="uk-UA"/>
        </w:rPr>
        <w:t>звiтного</w:t>
      </w:r>
      <w:proofErr w:type="spellEnd"/>
      <w:r w:rsidRPr="004229C1">
        <w:rPr>
          <w:rFonts w:ascii="Times New Roman" w:hAnsi="Times New Roman" w:cs="Times New Roman"/>
          <w:kern w:val="0"/>
          <w:lang w:val="uk-UA"/>
        </w:rPr>
        <w:t xml:space="preserve"> року не </w:t>
      </w:r>
      <w:proofErr w:type="spellStart"/>
      <w:r w:rsidRPr="004229C1">
        <w:rPr>
          <w:rFonts w:ascii="Times New Roman" w:hAnsi="Times New Roman" w:cs="Times New Roman"/>
          <w:kern w:val="0"/>
          <w:lang w:val="uk-UA"/>
        </w:rPr>
        <w:t>вiдбувались</w:t>
      </w:r>
      <w:proofErr w:type="spellEnd"/>
      <w:r w:rsidRPr="004229C1">
        <w:rPr>
          <w:rFonts w:ascii="Times New Roman" w:hAnsi="Times New Roman" w:cs="Times New Roman"/>
          <w:kern w:val="0"/>
          <w:lang w:val="uk-UA"/>
        </w:rPr>
        <w:t>.</w:t>
      </w:r>
      <w:r w:rsidR="00D51101" w:rsidRPr="004229C1">
        <w:rPr>
          <w:rFonts w:ascii="Times New Roman" w:hAnsi="Times New Roman" w:cs="Times New Roman"/>
          <w:kern w:val="0"/>
          <w:lang w:val="uk-UA"/>
        </w:rPr>
        <w:t xml:space="preserve"> Такі фінансові інструменти відсутні.</w:t>
      </w:r>
    </w:p>
    <w:p w14:paraId="490C8E35"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
    <w:p w14:paraId="301F5B21" w14:textId="77777777" w:rsidR="00E91264" w:rsidRPr="004229C1" w:rsidRDefault="00E91264" w:rsidP="00E91264">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розмiр</w:t>
      </w:r>
      <w:proofErr w:type="spellEnd"/>
      <w:r w:rsidRPr="004229C1">
        <w:rPr>
          <w:rFonts w:ascii="Times New Roman" w:hAnsi="Times New Roman" w:cs="Times New Roman"/>
          <w:kern w:val="0"/>
          <w:lang w:val="uk-UA"/>
        </w:rPr>
        <w:t xml:space="preserve"> доходу за видами </w:t>
      </w:r>
      <w:proofErr w:type="spellStart"/>
      <w:r w:rsidRPr="004229C1">
        <w:rPr>
          <w:rFonts w:ascii="Times New Roman" w:hAnsi="Times New Roman" w:cs="Times New Roman"/>
          <w:kern w:val="0"/>
          <w:lang w:val="uk-UA"/>
        </w:rPr>
        <w:t>дiяльностi</w:t>
      </w:r>
      <w:proofErr w:type="spellEnd"/>
      <w:r w:rsidRPr="004229C1">
        <w:rPr>
          <w:rFonts w:ascii="Times New Roman" w:hAnsi="Times New Roman" w:cs="Times New Roman"/>
          <w:kern w:val="0"/>
          <w:lang w:val="uk-UA"/>
        </w:rPr>
        <w:t xml:space="preserve"> особи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не складає </w:t>
      </w:r>
      <w:proofErr w:type="spellStart"/>
      <w:r w:rsidRPr="004229C1">
        <w:rPr>
          <w:rFonts w:ascii="Times New Roman" w:hAnsi="Times New Roman" w:cs="Times New Roman"/>
          <w:kern w:val="0"/>
          <w:lang w:val="uk-UA"/>
        </w:rPr>
        <w:t>звiтнiсть</w:t>
      </w:r>
      <w:proofErr w:type="spellEnd"/>
      <w:r w:rsidRPr="004229C1">
        <w:rPr>
          <w:rFonts w:ascii="Times New Roman" w:hAnsi="Times New Roman" w:cs="Times New Roman"/>
          <w:kern w:val="0"/>
          <w:lang w:val="uk-UA"/>
        </w:rPr>
        <w:t xml:space="preserve">, яка </w:t>
      </w:r>
      <w:proofErr w:type="spellStart"/>
      <w:r w:rsidRPr="004229C1">
        <w:rPr>
          <w:rFonts w:ascii="Times New Roman" w:hAnsi="Times New Roman" w:cs="Times New Roman"/>
          <w:kern w:val="0"/>
          <w:lang w:val="uk-UA"/>
        </w:rPr>
        <w:t>вiдображає</w:t>
      </w:r>
      <w:proofErr w:type="spellEnd"/>
      <w:r w:rsidRPr="004229C1">
        <w:rPr>
          <w:rFonts w:ascii="Times New Roman" w:hAnsi="Times New Roman" w:cs="Times New Roman"/>
          <w:kern w:val="0"/>
          <w:lang w:val="uk-UA"/>
        </w:rPr>
        <w:t xml:space="preserve"> доходи Банку в </w:t>
      </w:r>
      <w:proofErr w:type="spellStart"/>
      <w:r w:rsidRPr="004229C1">
        <w:rPr>
          <w:rFonts w:ascii="Times New Roman" w:hAnsi="Times New Roman" w:cs="Times New Roman"/>
          <w:kern w:val="0"/>
          <w:lang w:val="uk-UA"/>
        </w:rPr>
        <w:t>розрiзi</w:t>
      </w:r>
      <w:proofErr w:type="spellEnd"/>
      <w:r w:rsidRPr="004229C1">
        <w:rPr>
          <w:rFonts w:ascii="Times New Roman" w:hAnsi="Times New Roman" w:cs="Times New Roman"/>
          <w:kern w:val="0"/>
          <w:lang w:val="uk-UA"/>
        </w:rPr>
        <w:t xml:space="preserve"> виду </w:t>
      </w:r>
      <w:proofErr w:type="spellStart"/>
      <w:r w:rsidRPr="004229C1">
        <w:rPr>
          <w:rFonts w:ascii="Times New Roman" w:hAnsi="Times New Roman" w:cs="Times New Roman"/>
          <w:kern w:val="0"/>
          <w:lang w:val="uk-UA"/>
        </w:rPr>
        <w:t>дiяльностi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iз</w:t>
      </w:r>
      <w:proofErr w:type="spellEnd"/>
      <w:r w:rsidRPr="004229C1">
        <w:rPr>
          <w:rFonts w:ascii="Times New Roman" w:hAnsi="Times New Roman" w:cs="Times New Roman"/>
          <w:kern w:val="0"/>
          <w:lang w:val="uk-UA"/>
        </w:rPr>
        <w:t xml:space="preserve"> зазначенням найменування та коду за КВЕД. Банк складає </w:t>
      </w:r>
      <w:proofErr w:type="spellStart"/>
      <w:r w:rsidRPr="004229C1">
        <w:rPr>
          <w:rFonts w:ascii="Times New Roman" w:hAnsi="Times New Roman" w:cs="Times New Roman"/>
          <w:kern w:val="0"/>
          <w:lang w:val="uk-UA"/>
        </w:rPr>
        <w:t>звiтнiсть</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вiдповiдно</w:t>
      </w:r>
      <w:proofErr w:type="spellEnd"/>
      <w:r w:rsidRPr="004229C1">
        <w:rPr>
          <w:rFonts w:ascii="Times New Roman" w:hAnsi="Times New Roman" w:cs="Times New Roman"/>
          <w:kern w:val="0"/>
          <w:lang w:val="uk-UA"/>
        </w:rPr>
        <w:t xml:space="preserve"> до </w:t>
      </w:r>
      <w:proofErr w:type="spellStart"/>
      <w:r w:rsidRPr="004229C1">
        <w:rPr>
          <w:rFonts w:ascii="Times New Roman" w:hAnsi="Times New Roman" w:cs="Times New Roman"/>
          <w:kern w:val="0"/>
          <w:lang w:val="uk-UA"/>
        </w:rPr>
        <w:t>мiжнародних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стандартiв</w:t>
      </w:r>
      <w:proofErr w:type="spellEnd"/>
      <w:r w:rsidRPr="004229C1">
        <w:rPr>
          <w:rFonts w:ascii="Times New Roman" w:hAnsi="Times New Roman" w:cs="Times New Roman"/>
          <w:kern w:val="0"/>
          <w:lang w:val="uk-UA"/>
        </w:rPr>
        <w:t xml:space="preserve"> та вимог </w:t>
      </w:r>
      <w:proofErr w:type="spellStart"/>
      <w:r w:rsidRPr="004229C1">
        <w:rPr>
          <w:rFonts w:ascii="Times New Roman" w:hAnsi="Times New Roman" w:cs="Times New Roman"/>
          <w:kern w:val="0"/>
          <w:lang w:val="uk-UA"/>
        </w:rPr>
        <w:t>Нацiонального</w:t>
      </w:r>
      <w:proofErr w:type="spellEnd"/>
      <w:r w:rsidRPr="004229C1">
        <w:rPr>
          <w:rFonts w:ascii="Times New Roman" w:hAnsi="Times New Roman" w:cs="Times New Roman"/>
          <w:kern w:val="0"/>
          <w:lang w:val="uk-UA"/>
        </w:rPr>
        <w:t xml:space="preserve"> банку України. В Банку в </w:t>
      </w:r>
      <w:proofErr w:type="spellStart"/>
      <w:r w:rsidRPr="004229C1">
        <w:rPr>
          <w:rFonts w:ascii="Times New Roman" w:hAnsi="Times New Roman" w:cs="Times New Roman"/>
          <w:kern w:val="0"/>
          <w:lang w:val="uk-UA"/>
        </w:rPr>
        <w:t>дохiд</w:t>
      </w:r>
      <w:proofErr w:type="spellEnd"/>
      <w:r w:rsidRPr="004229C1">
        <w:rPr>
          <w:rFonts w:ascii="Times New Roman" w:hAnsi="Times New Roman" w:cs="Times New Roman"/>
          <w:kern w:val="0"/>
          <w:lang w:val="uk-UA"/>
        </w:rPr>
        <w:t xml:space="preserve"> включаються </w:t>
      </w:r>
      <w:proofErr w:type="spellStart"/>
      <w:r w:rsidRPr="004229C1">
        <w:rPr>
          <w:rFonts w:ascii="Times New Roman" w:hAnsi="Times New Roman" w:cs="Times New Roman"/>
          <w:kern w:val="0"/>
          <w:lang w:val="uk-UA"/>
        </w:rPr>
        <w:t>процентнi</w:t>
      </w:r>
      <w:proofErr w:type="spellEnd"/>
      <w:r w:rsidRPr="004229C1">
        <w:rPr>
          <w:rFonts w:ascii="Times New Roman" w:hAnsi="Times New Roman" w:cs="Times New Roman"/>
          <w:kern w:val="0"/>
          <w:lang w:val="uk-UA"/>
        </w:rPr>
        <w:t xml:space="preserve"> доходи, </w:t>
      </w:r>
      <w:proofErr w:type="spellStart"/>
      <w:r w:rsidRPr="004229C1">
        <w:rPr>
          <w:rFonts w:ascii="Times New Roman" w:hAnsi="Times New Roman" w:cs="Times New Roman"/>
          <w:kern w:val="0"/>
          <w:lang w:val="uk-UA"/>
        </w:rPr>
        <w:t>комiсiйнi</w:t>
      </w:r>
      <w:proofErr w:type="spellEnd"/>
      <w:r w:rsidRPr="004229C1">
        <w:rPr>
          <w:rFonts w:ascii="Times New Roman" w:hAnsi="Times New Roman" w:cs="Times New Roman"/>
          <w:kern w:val="0"/>
          <w:lang w:val="uk-UA"/>
        </w:rPr>
        <w:t xml:space="preserve"> доходи, </w:t>
      </w:r>
      <w:proofErr w:type="spellStart"/>
      <w:r w:rsidRPr="004229C1">
        <w:rPr>
          <w:rFonts w:ascii="Times New Roman" w:hAnsi="Times New Roman" w:cs="Times New Roman"/>
          <w:kern w:val="0"/>
          <w:lang w:val="uk-UA"/>
        </w:rPr>
        <w:t>торговельнi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iншi</w:t>
      </w:r>
      <w:proofErr w:type="spellEnd"/>
      <w:r w:rsidRPr="004229C1">
        <w:rPr>
          <w:rFonts w:ascii="Times New Roman" w:hAnsi="Times New Roman" w:cs="Times New Roman"/>
          <w:kern w:val="0"/>
          <w:lang w:val="uk-UA"/>
        </w:rPr>
        <w:t>.</w:t>
      </w:r>
    </w:p>
    <w:p w14:paraId="01F3915D" w14:textId="77777777" w:rsidR="00D32407" w:rsidRPr="004229C1" w:rsidRDefault="00D32407" w:rsidP="00D32407">
      <w:pPr>
        <w:widowControl w:val="0"/>
        <w:autoSpaceDE w:val="0"/>
        <w:autoSpaceDN w:val="0"/>
        <w:adjustRightInd w:val="0"/>
        <w:spacing w:after="0" w:line="240" w:lineRule="auto"/>
        <w:jc w:val="both"/>
        <w:rPr>
          <w:rFonts w:ascii="Times New Roman" w:hAnsi="Times New Roman" w:cs="Times New Roman"/>
          <w:kern w:val="0"/>
          <w:lang w:val="uk-UA"/>
        </w:rPr>
      </w:pPr>
    </w:p>
    <w:p w14:paraId="02EEE800" w14:textId="4EFC170C" w:rsidR="00D32407" w:rsidRPr="004229C1" w:rsidRDefault="00D32407" w:rsidP="00D3240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прийняття рішення про попереднє надання згоди на вчинення значних правочинів не надається, оскільки емітент є банком.</w:t>
      </w:r>
    </w:p>
    <w:p w14:paraId="5658CCB8" w14:textId="77777777" w:rsidR="00D60F46" w:rsidRPr="004229C1" w:rsidRDefault="00D60F46" w:rsidP="00D32407">
      <w:pPr>
        <w:widowControl w:val="0"/>
        <w:autoSpaceDE w:val="0"/>
        <w:autoSpaceDN w:val="0"/>
        <w:adjustRightInd w:val="0"/>
        <w:spacing w:after="0" w:line="240" w:lineRule="auto"/>
        <w:jc w:val="both"/>
        <w:rPr>
          <w:rFonts w:ascii="Times New Roman" w:hAnsi="Times New Roman" w:cs="Times New Roman"/>
          <w:kern w:val="0"/>
          <w:lang w:val="uk-UA"/>
        </w:rPr>
      </w:pPr>
    </w:p>
    <w:p w14:paraId="62866F08" w14:textId="3CE5AB4B" w:rsidR="00D32407" w:rsidRPr="004229C1" w:rsidRDefault="00D60F46" w:rsidP="00D3240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вчинення значних правочинів не розкривається, оскільки</w:t>
      </w:r>
      <w:r w:rsidR="0084393C" w:rsidRPr="004229C1">
        <w:t xml:space="preserve"> </w:t>
      </w:r>
      <w:r w:rsidR="0084393C" w:rsidRPr="004229C1">
        <w:rPr>
          <w:rFonts w:ascii="Times New Roman" w:hAnsi="Times New Roman" w:cs="Times New Roman"/>
          <w:kern w:val="0"/>
          <w:lang w:val="uk-UA"/>
        </w:rPr>
        <w:t xml:space="preserve">рішень про вчинення </w:t>
      </w:r>
      <w:r w:rsidRPr="004229C1">
        <w:rPr>
          <w:rFonts w:ascii="Times New Roman" w:hAnsi="Times New Roman" w:cs="Times New Roman"/>
          <w:kern w:val="0"/>
          <w:lang w:val="uk-UA"/>
        </w:rPr>
        <w:t>таких правочинів не було за звітній період.</w:t>
      </w:r>
    </w:p>
    <w:p w14:paraId="46CD5DE6" w14:textId="77777777" w:rsidR="00D60F46" w:rsidRPr="004229C1" w:rsidRDefault="00D60F46" w:rsidP="00D32407">
      <w:pPr>
        <w:widowControl w:val="0"/>
        <w:autoSpaceDE w:val="0"/>
        <w:autoSpaceDN w:val="0"/>
        <w:adjustRightInd w:val="0"/>
        <w:spacing w:after="0" w:line="240" w:lineRule="auto"/>
        <w:jc w:val="both"/>
        <w:rPr>
          <w:rFonts w:ascii="Times New Roman" w:hAnsi="Times New Roman" w:cs="Times New Roman"/>
          <w:kern w:val="0"/>
          <w:lang w:val="uk-UA"/>
        </w:rPr>
      </w:pPr>
    </w:p>
    <w:p w14:paraId="6EF3247C" w14:textId="04364EFC" w:rsidR="00D32407" w:rsidRPr="004229C1" w:rsidRDefault="00D32407" w:rsidP="00D3240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вчинення правочинів, щодо вчинення яких є заінтересованість не надається, оскільки таки</w:t>
      </w:r>
      <w:r w:rsidR="00E91264" w:rsidRPr="004229C1">
        <w:rPr>
          <w:rFonts w:ascii="Times New Roman" w:hAnsi="Times New Roman" w:cs="Times New Roman"/>
          <w:kern w:val="0"/>
          <w:lang w:val="uk-UA"/>
        </w:rPr>
        <w:t>х</w:t>
      </w:r>
      <w:r w:rsidRPr="004229C1">
        <w:rPr>
          <w:rFonts w:ascii="Times New Roman" w:hAnsi="Times New Roman" w:cs="Times New Roman"/>
          <w:kern w:val="0"/>
          <w:lang w:val="uk-UA"/>
        </w:rPr>
        <w:t xml:space="preserve"> правочинів не було за звітній період.</w:t>
      </w:r>
    </w:p>
    <w:p w14:paraId="72A4D902" w14:textId="77777777" w:rsidR="00D32407" w:rsidRPr="004229C1" w:rsidRDefault="00D32407" w:rsidP="00D32407">
      <w:pPr>
        <w:widowControl w:val="0"/>
        <w:autoSpaceDE w:val="0"/>
        <w:autoSpaceDN w:val="0"/>
        <w:adjustRightInd w:val="0"/>
        <w:spacing w:after="0" w:line="240" w:lineRule="auto"/>
        <w:jc w:val="both"/>
        <w:rPr>
          <w:rFonts w:ascii="Times New Roman" w:hAnsi="Times New Roman" w:cs="Times New Roman"/>
          <w:kern w:val="0"/>
          <w:lang w:val="uk-UA"/>
        </w:rPr>
      </w:pPr>
    </w:p>
    <w:p w14:paraId="5AD23427" w14:textId="083543F6" w:rsidR="00D32407" w:rsidRPr="004229C1" w:rsidRDefault="00D32407" w:rsidP="00D3240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Звіт про платежі на користь держави не розкривається, оскільки емітент здійснює банківську діяльність.</w:t>
      </w:r>
    </w:p>
    <w:p w14:paraId="2D31D0DB" w14:textId="77777777" w:rsidR="00D60F46" w:rsidRPr="004229C1" w:rsidRDefault="00D60F46" w:rsidP="00D60F46">
      <w:pPr>
        <w:widowControl w:val="0"/>
        <w:autoSpaceDE w:val="0"/>
        <w:autoSpaceDN w:val="0"/>
        <w:adjustRightInd w:val="0"/>
        <w:spacing w:after="0" w:line="240" w:lineRule="auto"/>
        <w:jc w:val="both"/>
        <w:rPr>
          <w:rFonts w:ascii="Times New Roman" w:hAnsi="Times New Roman" w:cs="Times New Roman"/>
          <w:kern w:val="0"/>
          <w:lang w:val="uk-UA"/>
        </w:rPr>
      </w:pPr>
    </w:p>
    <w:p w14:paraId="21577730" w14:textId="05EE7807" w:rsidR="007F0477" w:rsidRPr="004229C1" w:rsidRDefault="00D60F46" w:rsidP="00D60F46">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Iнформація</w:t>
      </w:r>
      <w:proofErr w:type="spellEnd"/>
      <w:r w:rsidRPr="004229C1">
        <w:rPr>
          <w:rFonts w:ascii="Times New Roman" w:hAnsi="Times New Roman" w:cs="Times New Roman"/>
          <w:kern w:val="0"/>
          <w:lang w:val="uk-UA"/>
        </w:rPr>
        <w:t xml:space="preserve"> про укладення </w:t>
      </w:r>
      <w:proofErr w:type="spellStart"/>
      <w:r w:rsidRPr="004229C1">
        <w:rPr>
          <w:rFonts w:ascii="Times New Roman" w:hAnsi="Times New Roman" w:cs="Times New Roman"/>
          <w:kern w:val="0"/>
          <w:lang w:val="uk-UA"/>
        </w:rPr>
        <w:t>деривативних</w:t>
      </w:r>
      <w:proofErr w:type="spellEnd"/>
      <w:r w:rsidRPr="004229C1">
        <w:rPr>
          <w:rFonts w:ascii="Times New Roman" w:hAnsi="Times New Roman" w:cs="Times New Roman"/>
          <w:kern w:val="0"/>
          <w:lang w:val="uk-UA"/>
        </w:rPr>
        <w:t xml:space="preserve"> контрактів або вчинення правочинів щодо </w:t>
      </w:r>
      <w:proofErr w:type="spellStart"/>
      <w:r w:rsidRPr="004229C1">
        <w:rPr>
          <w:rFonts w:ascii="Times New Roman" w:hAnsi="Times New Roman" w:cs="Times New Roman"/>
          <w:kern w:val="0"/>
          <w:lang w:val="uk-UA"/>
        </w:rPr>
        <w:t>деривативних</w:t>
      </w:r>
      <w:proofErr w:type="spellEnd"/>
      <w:r w:rsidRPr="004229C1">
        <w:rPr>
          <w:rFonts w:ascii="Times New Roman" w:hAnsi="Times New Roman" w:cs="Times New Roman"/>
          <w:kern w:val="0"/>
          <w:lang w:val="uk-UA"/>
        </w:rPr>
        <w:t xml:space="preserve">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 зокрема інформацію </w:t>
      </w:r>
      <w:proofErr w:type="spellStart"/>
      <w:r w:rsidRPr="004229C1">
        <w:rPr>
          <w:rFonts w:ascii="Times New Roman" w:hAnsi="Times New Roman" w:cs="Times New Roman"/>
          <w:kern w:val="0"/>
          <w:lang w:val="uk-UA"/>
        </w:rPr>
        <w:t>прозавдання</w:t>
      </w:r>
      <w:proofErr w:type="spellEnd"/>
      <w:r w:rsidRPr="004229C1">
        <w:rPr>
          <w:rFonts w:ascii="Times New Roman" w:hAnsi="Times New Roman" w:cs="Times New Roman"/>
          <w:kern w:val="0"/>
          <w:lang w:val="uk-UA"/>
        </w:rPr>
        <w:t xml:space="preserve">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схильність особи до цінових ризиків, кредитного ризику, ризику ліквідності та/або ризику грошових потоків, не розкривається, оскільки таких контрактів укладено не було/ правочинів вчинено не було за звітній період</w:t>
      </w:r>
    </w:p>
    <w:p w14:paraId="35D9C696" w14:textId="77777777" w:rsidR="00D60F46" w:rsidRPr="004229C1" w:rsidRDefault="00D60F46" w:rsidP="00D60F46">
      <w:pPr>
        <w:widowControl w:val="0"/>
        <w:autoSpaceDE w:val="0"/>
        <w:autoSpaceDN w:val="0"/>
        <w:adjustRightInd w:val="0"/>
        <w:spacing w:after="0" w:line="240" w:lineRule="auto"/>
        <w:jc w:val="both"/>
        <w:rPr>
          <w:rFonts w:ascii="Times New Roman" w:hAnsi="Times New Roman" w:cs="Times New Roman"/>
          <w:kern w:val="0"/>
          <w:lang w:val="uk-UA"/>
        </w:rPr>
      </w:pPr>
    </w:p>
    <w:p w14:paraId="0DF68305" w14:textId="583ADD84"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практику корпоративного </w:t>
      </w:r>
      <w:proofErr w:type="spellStart"/>
      <w:r w:rsidRPr="004229C1">
        <w:rPr>
          <w:rFonts w:ascii="Times New Roman" w:hAnsi="Times New Roman" w:cs="Times New Roman"/>
          <w:kern w:val="0"/>
          <w:lang w:val="uk-UA"/>
        </w:rPr>
        <w:t>управлiння</w:t>
      </w:r>
      <w:proofErr w:type="spellEnd"/>
      <w:r w:rsidR="00E91264" w:rsidRPr="004229C1">
        <w:rPr>
          <w:rFonts w:ascii="Times New Roman" w:hAnsi="Times New Roman" w:cs="Times New Roman"/>
          <w:kern w:val="0"/>
          <w:lang w:val="uk-UA"/>
        </w:rPr>
        <w:t xml:space="preserve"> в частині</w:t>
      </w:r>
      <w:r w:rsidRPr="004229C1">
        <w:rPr>
          <w:rFonts w:ascii="Times New Roman" w:hAnsi="Times New Roman" w:cs="Times New Roman"/>
          <w:kern w:val="0"/>
          <w:lang w:val="uk-UA"/>
        </w:rPr>
        <w:t xml:space="preserve"> </w:t>
      </w:r>
      <w:r w:rsidR="00E91264" w:rsidRPr="004229C1">
        <w:rPr>
          <w:rFonts w:ascii="Times New Roman" w:hAnsi="Times New Roman" w:cs="Times New Roman"/>
          <w:kern w:val="0"/>
          <w:lang w:val="uk-UA"/>
        </w:rPr>
        <w:t>р</w:t>
      </w:r>
      <w:r w:rsidRPr="004229C1">
        <w:rPr>
          <w:rFonts w:ascii="Times New Roman" w:hAnsi="Times New Roman" w:cs="Times New Roman"/>
          <w:kern w:val="0"/>
          <w:lang w:val="uk-UA"/>
        </w:rPr>
        <w:t>ад</w:t>
      </w:r>
      <w:r w:rsidR="00E91264" w:rsidRPr="004229C1">
        <w:rPr>
          <w:rFonts w:ascii="Times New Roman" w:hAnsi="Times New Roman" w:cs="Times New Roman"/>
          <w:kern w:val="0"/>
          <w:lang w:val="uk-UA"/>
        </w:rPr>
        <w:t>и</w:t>
      </w:r>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директорiв</w:t>
      </w:r>
      <w:proofErr w:type="spellEnd"/>
      <w:r w:rsidRPr="004229C1">
        <w:rPr>
          <w:rFonts w:ascii="Times New Roman" w:hAnsi="Times New Roman" w:cs="Times New Roman"/>
          <w:kern w:val="0"/>
          <w:lang w:val="uk-UA"/>
        </w:rPr>
        <w:t xml:space="preserve"> - не подається,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має </w:t>
      </w:r>
      <w:proofErr w:type="spellStart"/>
      <w:r w:rsidRPr="004229C1">
        <w:rPr>
          <w:rFonts w:ascii="Times New Roman" w:hAnsi="Times New Roman" w:cs="Times New Roman"/>
          <w:kern w:val="0"/>
          <w:lang w:val="uk-UA"/>
        </w:rPr>
        <w:t>дворiвневу</w:t>
      </w:r>
      <w:proofErr w:type="spellEnd"/>
      <w:r w:rsidRPr="004229C1">
        <w:rPr>
          <w:rFonts w:ascii="Times New Roman" w:hAnsi="Times New Roman" w:cs="Times New Roman"/>
          <w:kern w:val="0"/>
          <w:lang w:val="uk-UA"/>
        </w:rPr>
        <w:t xml:space="preserve"> структуру </w:t>
      </w:r>
      <w:proofErr w:type="spellStart"/>
      <w:r w:rsidRPr="004229C1">
        <w:rPr>
          <w:rFonts w:ascii="Times New Roman" w:hAnsi="Times New Roman" w:cs="Times New Roman"/>
          <w:kern w:val="0"/>
          <w:lang w:val="uk-UA"/>
        </w:rPr>
        <w:t>управлiння</w:t>
      </w:r>
      <w:proofErr w:type="spellEnd"/>
      <w:r w:rsidRPr="004229C1">
        <w:rPr>
          <w:rFonts w:ascii="Times New Roman" w:hAnsi="Times New Roman" w:cs="Times New Roman"/>
          <w:kern w:val="0"/>
          <w:lang w:val="uk-UA"/>
        </w:rPr>
        <w:t>.</w:t>
      </w:r>
    </w:p>
    <w:p w14:paraId="450D0DF5"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20DD5118"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збори </w:t>
      </w:r>
      <w:proofErr w:type="spellStart"/>
      <w:r w:rsidRPr="004229C1">
        <w:rPr>
          <w:rFonts w:ascii="Times New Roman" w:hAnsi="Times New Roman" w:cs="Times New Roman"/>
          <w:kern w:val="0"/>
          <w:lang w:val="uk-UA"/>
        </w:rPr>
        <w:t>власникiв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облiгацiй</w:t>
      </w:r>
      <w:proofErr w:type="spellEnd"/>
      <w:r w:rsidRPr="004229C1">
        <w:rPr>
          <w:rFonts w:ascii="Times New Roman" w:hAnsi="Times New Roman" w:cs="Times New Roman"/>
          <w:kern w:val="0"/>
          <w:lang w:val="uk-UA"/>
        </w:rPr>
        <w:t xml:space="preserve"> не зазначається,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Банк не є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облiгацiй</w:t>
      </w:r>
      <w:proofErr w:type="spellEnd"/>
      <w:r w:rsidRPr="004229C1">
        <w:rPr>
          <w:rFonts w:ascii="Times New Roman" w:hAnsi="Times New Roman" w:cs="Times New Roman"/>
          <w:kern w:val="0"/>
          <w:lang w:val="uk-UA"/>
        </w:rPr>
        <w:t>.</w:t>
      </w:r>
    </w:p>
    <w:p w14:paraId="2BFFBB02" w14:textId="77777777" w:rsidR="00E91264" w:rsidRPr="004229C1" w:rsidRDefault="00E91264"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657CD0A5" w14:textId="77777777"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одноосiбний</w:t>
      </w:r>
      <w:proofErr w:type="spellEnd"/>
      <w:r w:rsidRPr="004229C1">
        <w:rPr>
          <w:rFonts w:ascii="Times New Roman" w:hAnsi="Times New Roman" w:cs="Times New Roman"/>
          <w:kern w:val="0"/>
          <w:lang w:val="uk-UA"/>
        </w:rPr>
        <w:t xml:space="preserve"> виконавчий орган та загальний опис прийнятих </w:t>
      </w:r>
      <w:proofErr w:type="spellStart"/>
      <w:r w:rsidRPr="004229C1">
        <w:rPr>
          <w:rFonts w:ascii="Times New Roman" w:hAnsi="Times New Roman" w:cs="Times New Roman"/>
          <w:kern w:val="0"/>
          <w:lang w:val="uk-UA"/>
        </w:rPr>
        <w:t>рiшень</w:t>
      </w:r>
      <w:proofErr w:type="spellEnd"/>
      <w:r w:rsidRPr="004229C1">
        <w:rPr>
          <w:rFonts w:ascii="Times New Roman" w:hAnsi="Times New Roman" w:cs="Times New Roman"/>
          <w:kern w:val="0"/>
          <w:lang w:val="uk-UA"/>
        </w:rPr>
        <w:t xml:space="preserve"> -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такий орган в Банку </w:t>
      </w:r>
      <w:proofErr w:type="spellStart"/>
      <w:r w:rsidRPr="004229C1">
        <w:rPr>
          <w:rFonts w:ascii="Times New Roman" w:hAnsi="Times New Roman" w:cs="Times New Roman"/>
          <w:kern w:val="0"/>
          <w:lang w:val="uk-UA"/>
        </w:rPr>
        <w:t>вiдсутнiй</w:t>
      </w:r>
      <w:proofErr w:type="spellEnd"/>
      <w:r w:rsidRPr="004229C1">
        <w:rPr>
          <w:rFonts w:ascii="Times New Roman" w:hAnsi="Times New Roman" w:cs="Times New Roman"/>
          <w:kern w:val="0"/>
          <w:lang w:val="uk-UA"/>
        </w:rPr>
        <w:t>.</w:t>
      </w:r>
    </w:p>
    <w:p w14:paraId="5C435DE3" w14:textId="77777777" w:rsidR="00E91264" w:rsidRPr="004229C1" w:rsidRDefault="00E91264"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005D3C5C" w14:textId="0D44A146" w:rsidR="007F0477" w:rsidRPr="004229C1" w:rsidRDefault="00E91264"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щодо будь-яких обмежень прав участі та голосування акціонерів (учасників) на загальних зборах особи не надається, такі обмеження відсутні.</w:t>
      </w:r>
    </w:p>
    <w:p w14:paraId="64C9DAAE" w14:textId="77777777" w:rsidR="00E91264" w:rsidRPr="004229C1" w:rsidRDefault="00E91264"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13E156EA" w14:textId="51E92E11" w:rsidR="007F0477" w:rsidRPr="004229C1" w:rsidRDefault="007F0477" w:rsidP="00D72D69">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винагороду </w:t>
      </w:r>
      <w:proofErr w:type="spellStart"/>
      <w:r w:rsidRPr="004229C1">
        <w:rPr>
          <w:rFonts w:ascii="Times New Roman" w:hAnsi="Times New Roman" w:cs="Times New Roman"/>
          <w:kern w:val="0"/>
          <w:lang w:val="uk-UA"/>
        </w:rPr>
        <w:t>членiв</w:t>
      </w:r>
      <w:proofErr w:type="spellEnd"/>
      <w:r w:rsidRPr="004229C1">
        <w:rPr>
          <w:rFonts w:ascii="Times New Roman" w:hAnsi="Times New Roman" w:cs="Times New Roman"/>
          <w:kern w:val="0"/>
          <w:lang w:val="uk-UA"/>
        </w:rPr>
        <w:t xml:space="preserve"> виконавчого органу та/або ради особи </w:t>
      </w:r>
      <w:r w:rsidR="008E6233" w:rsidRPr="004229C1">
        <w:rPr>
          <w:rFonts w:ascii="Times New Roman" w:hAnsi="Times New Roman" w:cs="Times New Roman"/>
          <w:kern w:val="0"/>
          <w:lang w:val="uk-UA"/>
        </w:rPr>
        <w:t xml:space="preserve">розкрита </w:t>
      </w:r>
      <w:r w:rsidR="00D72D69" w:rsidRPr="004229C1">
        <w:rPr>
          <w:rFonts w:ascii="Times New Roman" w:hAnsi="Times New Roman" w:cs="Times New Roman"/>
          <w:kern w:val="0"/>
          <w:lang w:val="uk-UA"/>
        </w:rPr>
        <w:t xml:space="preserve">у відповідності до вимог Національного банку України та викладена </w:t>
      </w:r>
      <w:r w:rsidR="00E91264" w:rsidRPr="004229C1">
        <w:rPr>
          <w:rFonts w:ascii="Times New Roman" w:hAnsi="Times New Roman" w:cs="Times New Roman"/>
          <w:kern w:val="0"/>
          <w:lang w:val="uk-UA"/>
        </w:rPr>
        <w:t xml:space="preserve">у </w:t>
      </w:r>
      <w:proofErr w:type="spellStart"/>
      <w:r w:rsidR="00E91264" w:rsidRPr="004229C1">
        <w:rPr>
          <w:rFonts w:ascii="Times New Roman" w:hAnsi="Times New Roman" w:cs="Times New Roman"/>
          <w:kern w:val="0"/>
          <w:lang w:val="uk-UA"/>
        </w:rPr>
        <w:t>Звiтi</w:t>
      </w:r>
      <w:proofErr w:type="spellEnd"/>
      <w:r w:rsidR="00E91264" w:rsidRPr="004229C1">
        <w:rPr>
          <w:rFonts w:ascii="Times New Roman" w:hAnsi="Times New Roman" w:cs="Times New Roman"/>
          <w:kern w:val="0"/>
          <w:lang w:val="uk-UA"/>
        </w:rPr>
        <w:t xml:space="preserve"> про винагороду </w:t>
      </w:r>
      <w:r w:rsidR="007E7E5D" w:rsidRPr="004229C1">
        <w:rPr>
          <w:rFonts w:ascii="Times New Roman" w:hAnsi="Times New Roman" w:cs="Times New Roman"/>
          <w:kern w:val="0"/>
          <w:lang w:val="uk-UA"/>
        </w:rPr>
        <w:t xml:space="preserve">членів </w:t>
      </w:r>
      <w:r w:rsidR="00E91264" w:rsidRPr="004229C1">
        <w:rPr>
          <w:rFonts w:ascii="Times New Roman" w:hAnsi="Times New Roman" w:cs="Times New Roman"/>
          <w:kern w:val="0"/>
          <w:lang w:val="uk-UA"/>
        </w:rPr>
        <w:t xml:space="preserve">Наглядової </w:t>
      </w:r>
      <w:r w:rsidR="007E7E5D" w:rsidRPr="004229C1">
        <w:rPr>
          <w:rFonts w:ascii="Times New Roman" w:hAnsi="Times New Roman" w:cs="Times New Roman"/>
          <w:kern w:val="0"/>
          <w:lang w:val="uk-UA"/>
        </w:rPr>
        <w:t>Р</w:t>
      </w:r>
      <w:r w:rsidR="00E91264" w:rsidRPr="004229C1">
        <w:rPr>
          <w:rFonts w:ascii="Times New Roman" w:hAnsi="Times New Roman" w:cs="Times New Roman"/>
          <w:kern w:val="0"/>
          <w:lang w:val="uk-UA"/>
        </w:rPr>
        <w:t>ади АТ "ПРАВЕКС БАНК" за 202</w:t>
      </w:r>
      <w:r w:rsidR="007E7E5D" w:rsidRPr="004229C1">
        <w:rPr>
          <w:rFonts w:ascii="Times New Roman" w:hAnsi="Times New Roman" w:cs="Times New Roman"/>
          <w:kern w:val="0"/>
          <w:lang w:val="uk-UA"/>
        </w:rPr>
        <w:t>4</w:t>
      </w:r>
      <w:r w:rsidR="00E91264" w:rsidRPr="004229C1">
        <w:rPr>
          <w:rFonts w:ascii="Times New Roman" w:hAnsi="Times New Roman" w:cs="Times New Roman"/>
          <w:kern w:val="0"/>
          <w:lang w:val="uk-UA"/>
        </w:rPr>
        <w:t xml:space="preserve"> </w:t>
      </w:r>
      <w:proofErr w:type="spellStart"/>
      <w:r w:rsidR="00E91264" w:rsidRPr="004229C1">
        <w:rPr>
          <w:rFonts w:ascii="Times New Roman" w:hAnsi="Times New Roman" w:cs="Times New Roman"/>
          <w:kern w:val="0"/>
          <w:lang w:val="uk-UA"/>
        </w:rPr>
        <w:t>рiк</w:t>
      </w:r>
      <w:proofErr w:type="spellEnd"/>
      <w:r w:rsidR="00E91264" w:rsidRPr="004229C1">
        <w:rPr>
          <w:rFonts w:ascii="Times New Roman" w:hAnsi="Times New Roman" w:cs="Times New Roman"/>
          <w:kern w:val="0"/>
          <w:lang w:val="uk-UA"/>
        </w:rPr>
        <w:t xml:space="preserve"> </w:t>
      </w:r>
      <w:hyperlink r:id="rId9" w:history="1">
        <w:r w:rsidR="007E7E5D" w:rsidRPr="004229C1">
          <w:rPr>
            <w:rStyle w:val="Hyperlink"/>
            <w:rFonts w:ascii="Times New Roman" w:hAnsi="Times New Roman" w:cs="Times New Roman"/>
            <w:lang w:val="uk-UA"/>
          </w:rPr>
          <w:t>https://www.pravex.com.ua/storage/files/ukr-sb-remuneration.rar</w:t>
        </w:r>
      </w:hyperlink>
      <w:r w:rsidR="007E7E5D" w:rsidRPr="004229C1">
        <w:rPr>
          <w:rFonts w:ascii="Times New Roman" w:hAnsi="Times New Roman" w:cs="Times New Roman"/>
          <w:lang w:val="uk-UA"/>
        </w:rPr>
        <w:t xml:space="preserve"> </w:t>
      </w:r>
      <w:r w:rsidR="00E91264" w:rsidRPr="004229C1">
        <w:rPr>
          <w:rFonts w:ascii="Times New Roman" w:hAnsi="Times New Roman" w:cs="Times New Roman"/>
          <w:kern w:val="0"/>
          <w:lang w:val="uk-UA"/>
        </w:rPr>
        <w:t xml:space="preserve">та </w:t>
      </w:r>
      <w:proofErr w:type="spellStart"/>
      <w:r w:rsidR="00E91264" w:rsidRPr="004229C1">
        <w:rPr>
          <w:rFonts w:ascii="Times New Roman" w:hAnsi="Times New Roman" w:cs="Times New Roman"/>
          <w:kern w:val="0"/>
          <w:lang w:val="uk-UA"/>
        </w:rPr>
        <w:t>Звiтi</w:t>
      </w:r>
      <w:proofErr w:type="spellEnd"/>
      <w:r w:rsidR="00E91264" w:rsidRPr="004229C1">
        <w:rPr>
          <w:rFonts w:ascii="Times New Roman" w:hAnsi="Times New Roman" w:cs="Times New Roman"/>
          <w:kern w:val="0"/>
          <w:lang w:val="uk-UA"/>
        </w:rPr>
        <w:t xml:space="preserve"> про винагороду </w:t>
      </w:r>
      <w:proofErr w:type="spellStart"/>
      <w:r w:rsidR="00E91264" w:rsidRPr="004229C1">
        <w:rPr>
          <w:rFonts w:ascii="Times New Roman" w:hAnsi="Times New Roman" w:cs="Times New Roman"/>
          <w:kern w:val="0"/>
          <w:lang w:val="uk-UA"/>
        </w:rPr>
        <w:t>Правлiння</w:t>
      </w:r>
      <w:proofErr w:type="spellEnd"/>
      <w:r w:rsidR="00E91264" w:rsidRPr="004229C1">
        <w:rPr>
          <w:rFonts w:ascii="Times New Roman" w:hAnsi="Times New Roman" w:cs="Times New Roman"/>
          <w:kern w:val="0"/>
          <w:lang w:val="uk-UA"/>
        </w:rPr>
        <w:t xml:space="preserve"> та впливових </w:t>
      </w:r>
      <w:proofErr w:type="spellStart"/>
      <w:r w:rsidR="00E91264" w:rsidRPr="004229C1">
        <w:rPr>
          <w:rFonts w:ascii="Times New Roman" w:hAnsi="Times New Roman" w:cs="Times New Roman"/>
          <w:kern w:val="0"/>
          <w:lang w:val="uk-UA"/>
        </w:rPr>
        <w:t>осiб</w:t>
      </w:r>
      <w:proofErr w:type="spellEnd"/>
      <w:r w:rsidR="00E91264" w:rsidRPr="004229C1">
        <w:rPr>
          <w:rFonts w:ascii="Times New Roman" w:hAnsi="Times New Roman" w:cs="Times New Roman"/>
          <w:kern w:val="0"/>
          <w:lang w:val="uk-UA"/>
        </w:rPr>
        <w:t xml:space="preserve"> АТ "ПРАВЕКС БАНК" за 202</w:t>
      </w:r>
      <w:r w:rsidR="007E7E5D" w:rsidRPr="004229C1">
        <w:rPr>
          <w:rFonts w:ascii="Times New Roman" w:hAnsi="Times New Roman" w:cs="Times New Roman"/>
          <w:kern w:val="0"/>
          <w:lang w:val="uk-UA"/>
        </w:rPr>
        <w:t>4</w:t>
      </w:r>
      <w:r w:rsidR="00E91264" w:rsidRPr="004229C1">
        <w:rPr>
          <w:rFonts w:ascii="Times New Roman" w:hAnsi="Times New Roman" w:cs="Times New Roman"/>
          <w:kern w:val="0"/>
          <w:lang w:val="uk-UA"/>
        </w:rPr>
        <w:t xml:space="preserve"> </w:t>
      </w:r>
      <w:proofErr w:type="spellStart"/>
      <w:r w:rsidR="00E91264" w:rsidRPr="004229C1">
        <w:rPr>
          <w:rFonts w:ascii="Times New Roman" w:hAnsi="Times New Roman" w:cs="Times New Roman"/>
          <w:kern w:val="0"/>
          <w:lang w:val="uk-UA"/>
        </w:rPr>
        <w:t>рiк</w:t>
      </w:r>
      <w:proofErr w:type="spellEnd"/>
      <w:r w:rsidR="00E91264" w:rsidRPr="004229C1">
        <w:rPr>
          <w:rFonts w:ascii="Times New Roman" w:hAnsi="Times New Roman" w:cs="Times New Roman"/>
          <w:kern w:val="0"/>
          <w:lang w:val="uk-UA"/>
        </w:rPr>
        <w:t xml:space="preserve">: </w:t>
      </w:r>
      <w:hyperlink r:id="rId10" w:history="1">
        <w:r w:rsidR="007E7E5D" w:rsidRPr="004229C1">
          <w:rPr>
            <w:rStyle w:val="Hyperlink"/>
            <w:rFonts w:ascii="Times New Roman" w:hAnsi="Times New Roman" w:cs="Times New Roman"/>
            <w:lang w:val="uk-UA"/>
          </w:rPr>
          <w:t>https://www.pravex.com.ua/storage/files/zvit-pro-vinagorodu-2024.rar</w:t>
        </w:r>
      </w:hyperlink>
      <w:r w:rsidR="007E7E5D" w:rsidRPr="004229C1">
        <w:rPr>
          <w:rFonts w:ascii="Times New Roman" w:hAnsi="Times New Roman" w:cs="Times New Roman"/>
          <w:lang w:val="uk-UA"/>
        </w:rPr>
        <w:t xml:space="preserve"> </w:t>
      </w:r>
      <w:r w:rsidR="00D72D69" w:rsidRPr="004229C1">
        <w:rPr>
          <w:rFonts w:ascii="Times New Roman" w:hAnsi="Times New Roman" w:cs="Times New Roman"/>
          <w:lang w:val="uk-UA"/>
        </w:rPr>
        <w:t>Розкриття співвідношення середнього розміру винагороди члена виконавчого органу/ради із середнім розміром винагороди працівників особи вимогами Національного банку України не передбачено.</w:t>
      </w:r>
    </w:p>
    <w:p w14:paraId="46CFF90B"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79CDF1B5" w14:textId="79992980" w:rsidR="00D72D69" w:rsidRPr="004229C1" w:rsidRDefault="00D72D69" w:rsidP="004A3B2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lang w:val="uk-UA"/>
        </w:rPr>
        <w:t>Інформація про політику розкриття інформації особою</w:t>
      </w:r>
      <w:r w:rsidRPr="004229C1">
        <w:rPr>
          <w:rFonts w:ascii="Times New Roman" w:hAnsi="Times New Roman" w:cs="Times New Roman"/>
          <w:vertAlign w:val="superscript"/>
          <w:lang w:val="uk-UA"/>
        </w:rPr>
        <w:t xml:space="preserve"> </w:t>
      </w:r>
      <w:r w:rsidRPr="004229C1">
        <w:rPr>
          <w:rFonts w:ascii="Times New Roman" w:hAnsi="Times New Roman" w:cs="Times New Roman"/>
          <w:kern w:val="0"/>
          <w:lang w:val="uk-UA"/>
        </w:rPr>
        <w:t xml:space="preserve">не </w:t>
      </w:r>
      <w:r w:rsidR="008E6233" w:rsidRPr="004229C1">
        <w:rPr>
          <w:rFonts w:ascii="Times New Roman" w:hAnsi="Times New Roman" w:cs="Times New Roman"/>
          <w:kern w:val="0"/>
          <w:lang w:val="uk-UA"/>
        </w:rPr>
        <w:t>надана</w:t>
      </w:r>
      <w:r w:rsidRPr="004229C1">
        <w:rPr>
          <w:rFonts w:ascii="Times New Roman" w:hAnsi="Times New Roman" w:cs="Times New Roman"/>
          <w:kern w:val="0"/>
          <w:lang w:val="uk-UA"/>
        </w:rPr>
        <w:t>, оскільки емітент керується нормами законодавства, серед іншого</w:t>
      </w:r>
      <w:r w:rsidRPr="004229C1">
        <w:rPr>
          <w:lang w:val="uk-UA"/>
        </w:rPr>
        <w:t xml:space="preserve"> </w:t>
      </w:r>
      <w:r w:rsidRPr="004229C1">
        <w:rPr>
          <w:rFonts w:ascii="Times New Roman" w:hAnsi="Times New Roman" w:cs="Times New Roman"/>
          <w:kern w:val="0"/>
          <w:lang w:val="uk-UA"/>
        </w:rPr>
        <w:t>Рішення НКЦПФР від 06.06.2023 р. № 608 “Про затвердження Положення про розкриття інформації емітентами цінних паперів, а також особами, які надають забезпечення за такими цінними паперами”</w:t>
      </w:r>
    </w:p>
    <w:p w14:paraId="3173EAC0" w14:textId="77777777" w:rsidR="00D72D69" w:rsidRPr="004229C1" w:rsidRDefault="00D72D69"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31B6B57C" w14:textId="4BD1A67D" w:rsidR="00AA601C" w:rsidRPr="004229C1" w:rsidRDefault="00AA601C" w:rsidP="004A3B2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перелік стейкхолдерів, які мають вплив на досягнення особою стратегічних цілей із зазначенням обґрунтування</w:t>
      </w:r>
      <w:r w:rsidR="008E6233" w:rsidRPr="004229C1">
        <w:rPr>
          <w:rFonts w:ascii="Times New Roman" w:hAnsi="Times New Roman" w:cs="Times New Roman"/>
          <w:kern w:val="0"/>
          <w:lang w:val="uk-UA"/>
        </w:rPr>
        <w:t>,</w:t>
      </w:r>
      <w:r w:rsidRPr="004229C1">
        <w:rPr>
          <w:rFonts w:ascii="Times New Roman" w:hAnsi="Times New Roman" w:cs="Times New Roman"/>
          <w:kern w:val="0"/>
          <w:lang w:val="uk-UA"/>
        </w:rPr>
        <w:t xml:space="preserve"> в чому саме полягає такий вплив</w:t>
      </w:r>
      <w:r w:rsidR="008E6233" w:rsidRPr="004229C1">
        <w:rPr>
          <w:rFonts w:ascii="Times New Roman" w:hAnsi="Times New Roman" w:cs="Times New Roman"/>
          <w:kern w:val="0"/>
          <w:lang w:val="uk-UA"/>
        </w:rPr>
        <w:t>,</w:t>
      </w:r>
      <w:r w:rsidRPr="004229C1">
        <w:rPr>
          <w:rFonts w:ascii="Times New Roman" w:hAnsi="Times New Roman" w:cs="Times New Roman"/>
          <w:kern w:val="0"/>
          <w:lang w:val="uk-UA"/>
        </w:rPr>
        <w:t xml:space="preserve"> розкривається в узагальненому вигляді, оскільки точне визначення повного переліку таких стейкхолдерів є складним завданням через динамічність взаємодій та контексту, в якому здійснюється діяльність емітента.</w:t>
      </w:r>
    </w:p>
    <w:p w14:paraId="634F45CB" w14:textId="77777777" w:rsidR="00AA601C" w:rsidRPr="004229C1" w:rsidRDefault="00AA601C"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3391FF62" w14:textId="1B58E2C1"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радника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в Банку </w:t>
      </w:r>
      <w:proofErr w:type="spellStart"/>
      <w:r w:rsidRPr="004229C1">
        <w:rPr>
          <w:rFonts w:ascii="Times New Roman" w:hAnsi="Times New Roman" w:cs="Times New Roman"/>
          <w:kern w:val="0"/>
          <w:lang w:val="uk-UA"/>
        </w:rPr>
        <w:t>вiдсутнiй</w:t>
      </w:r>
      <w:proofErr w:type="spellEnd"/>
      <w:r w:rsidRPr="004229C1">
        <w:rPr>
          <w:rFonts w:ascii="Times New Roman" w:hAnsi="Times New Roman" w:cs="Times New Roman"/>
          <w:kern w:val="0"/>
          <w:lang w:val="uk-UA"/>
        </w:rPr>
        <w:t xml:space="preserve"> радник з корпоративних прав.</w:t>
      </w:r>
    </w:p>
    <w:p w14:paraId="591C2C93" w14:textId="77777777" w:rsidR="001B0057" w:rsidRPr="004229C1" w:rsidRDefault="001B005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02FF1D3C" w14:textId="03D9FFDA" w:rsidR="007F0477" w:rsidRPr="004229C1" w:rsidRDefault="001B0057" w:rsidP="001B005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щодо </w:t>
      </w:r>
      <w:proofErr w:type="spellStart"/>
      <w:r w:rsidRPr="004229C1">
        <w:rPr>
          <w:rFonts w:ascii="Times New Roman" w:hAnsi="Times New Roman" w:cs="Times New Roman"/>
          <w:kern w:val="0"/>
          <w:lang w:val="uk-UA"/>
        </w:rPr>
        <w:t>наявностi</w:t>
      </w:r>
      <w:proofErr w:type="spellEnd"/>
      <w:r w:rsidRPr="004229C1">
        <w:rPr>
          <w:rFonts w:ascii="Times New Roman" w:hAnsi="Times New Roman" w:cs="Times New Roman"/>
          <w:kern w:val="0"/>
          <w:lang w:val="uk-UA"/>
        </w:rPr>
        <w:t xml:space="preserve"> у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вiдносин</w:t>
      </w:r>
      <w:proofErr w:type="spellEnd"/>
      <w:r w:rsidRPr="004229C1">
        <w:rPr>
          <w:rFonts w:ascii="Times New Roman" w:hAnsi="Times New Roman" w:cs="Times New Roman"/>
          <w:kern w:val="0"/>
          <w:lang w:val="uk-UA"/>
        </w:rPr>
        <w:t xml:space="preserve"> з </w:t>
      </w:r>
      <w:proofErr w:type="spellStart"/>
      <w:r w:rsidRPr="004229C1">
        <w:rPr>
          <w:rFonts w:ascii="Times New Roman" w:hAnsi="Times New Roman" w:cs="Times New Roman"/>
          <w:kern w:val="0"/>
          <w:lang w:val="uk-UA"/>
        </w:rPr>
        <w:t>iноземними</w:t>
      </w:r>
      <w:proofErr w:type="spellEnd"/>
      <w:r w:rsidRPr="004229C1">
        <w:rPr>
          <w:rFonts w:ascii="Times New Roman" w:hAnsi="Times New Roman" w:cs="Times New Roman"/>
          <w:kern w:val="0"/>
          <w:lang w:val="uk-UA"/>
        </w:rPr>
        <w:t xml:space="preserve"> державами зони ризику належним чином розкрито у Звіті керівництва за 202</w:t>
      </w:r>
      <w:r w:rsidR="007E7E5D"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рік</w:t>
      </w:r>
      <w:r w:rsidR="00517DED" w:rsidRPr="004229C1">
        <w:rPr>
          <w:rFonts w:ascii="Times New Roman" w:hAnsi="Times New Roman" w:cs="Times New Roman"/>
          <w:kern w:val="0"/>
          <w:lang w:val="uk-UA"/>
        </w:rPr>
        <w:t xml:space="preserve"> </w:t>
      </w:r>
      <w:r w:rsidR="00085CA8" w:rsidRPr="004229C1">
        <w:rPr>
          <w:rFonts w:ascii="Times New Roman" w:hAnsi="Times New Roman" w:cs="Times New Roman"/>
          <w:kern w:val="0"/>
          <w:lang w:val="uk-UA"/>
        </w:rPr>
        <w:t>https://www.pravex.com.ua/storage/files/annual-report-for-the-year-ukr-pravex-bank-2024_1749195756.pdf</w:t>
      </w:r>
      <w:r w:rsidRPr="004229C1">
        <w:rPr>
          <w:rFonts w:ascii="Times New Roman" w:hAnsi="Times New Roman" w:cs="Times New Roman"/>
          <w:kern w:val="0"/>
          <w:lang w:val="uk-UA"/>
        </w:rPr>
        <w:t xml:space="preserve">, такі відносини відсутні. У Банку немає клієнтів, що безпосередньо контролюються державами зони ризику. Однак, є декілька клієнтів, що частково контролюються поточними або </w:t>
      </w:r>
      <w:r w:rsidR="00517DED" w:rsidRPr="004229C1">
        <w:rPr>
          <w:rFonts w:ascii="Times New Roman" w:hAnsi="Times New Roman" w:cs="Times New Roman"/>
          <w:kern w:val="0"/>
          <w:lang w:val="uk-UA"/>
        </w:rPr>
        <w:t xml:space="preserve">колишніми </w:t>
      </w:r>
      <w:r w:rsidRPr="004229C1">
        <w:rPr>
          <w:rFonts w:ascii="Times New Roman" w:hAnsi="Times New Roman" w:cs="Times New Roman"/>
          <w:kern w:val="0"/>
          <w:lang w:val="uk-UA"/>
        </w:rPr>
        <w:t xml:space="preserve">громадянами держав зони ризику. Робота з такими клієнтами окремо аналізується і контролюється відділом протидії легалізації доходів, отриманих злочинним шляхом, і боротьби з фінансуванням тероризму з метою дотримання локального та міжнародного </w:t>
      </w:r>
      <w:proofErr w:type="spellStart"/>
      <w:r w:rsidRPr="004229C1">
        <w:rPr>
          <w:rFonts w:ascii="Times New Roman" w:hAnsi="Times New Roman" w:cs="Times New Roman"/>
          <w:kern w:val="0"/>
          <w:lang w:val="uk-UA"/>
        </w:rPr>
        <w:t>санкційного</w:t>
      </w:r>
      <w:proofErr w:type="spellEnd"/>
      <w:r w:rsidRPr="004229C1">
        <w:rPr>
          <w:rFonts w:ascii="Times New Roman" w:hAnsi="Times New Roman" w:cs="Times New Roman"/>
          <w:kern w:val="0"/>
          <w:lang w:val="uk-UA"/>
        </w:rPr>
        <w:t xml:space="preserve"> законодавства та внутрішніх політик та процедур. Банк розірвав договірні відносини з банком-кореспондентом, що зареєстрований у державі-агресорі, проте, за наявною інформацією, зазначений банк-кореспондент продовжує утримувати незначну суму коштів Банку у валюті держави-агресора, яка зберігалася на зазначеному кореспондентському рахунку.</w:t>
      </w:r>
    </w:p>
    <w:p w14:paraId="59A28D5B" w14:textId="77777777" w:rsidR="001B0057" w:rsidRPr="004229C1" w:rsidRDefault="001B005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101136FB" w14:textId="384CFBDA" w:rsidR="007F0477" w:rsidRPr="004229C1" w:rsidRDefault="007F0477" w:rsidP="007F0477">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w:t>
      </w:r>
      <w:proofErr w:type="spellStart"/>
      <w:r w:rsidRPr="004229C1">
        <w:rPr>
          <w:rFonts w:ascii="Times New Roman" w:hAnsi="Times New Roman" w:cs="Times New Roman"/>
          <w:kern w:val="0"/>
          <w:lang w:val="uk-UA"/>
        </w:rPr>
        <w:t>акцiонернi</w:t>
      </w:r>
      <w:proofErr w:type="spellEnd"/>
      <w:r w:rsidRPr="004229C1">
        <w:rPr>
          <w:rFonts w:ascii="Times New Roman" w:hAnsi="Times New Roman" w:cs="Times New Roman"/>
          <w:kern w:val="0"/>
          <w:lang w:val="uk-UA"/>
        </w:rPr>
        <w:t xml:space="preserve"> або </w:t>
      </w:r>
      <w:proofErr w:type="spellStart"/>
      <w:r w:rsidRPr="004229C1">
        <w:rPr>
          <w:rFonts w:ascii="Times New Roman" w:hAnsi="Times New Roman" w:cs="Times New Roman"/>
          <w:kern w:val="0"/>
          <w:lang w:val="uk-UA"/>
        </w:rPr>
        <w:t>корпоративнi</w:t>
      </w:r>
      <w:proofErr w:type="spellEnd"/>
      <w:r w:rsidRPr="004229C1">
        <w:rPr>
          <w:rFonts w:ascii="Times New Roman" w:hAnsi="Times New Roman" w:cs="Times New Roman"/>
          <w:kern w:val="0"/>
          <w:lang w:val="uk-UA"/>
        </w:rPr>
        <w:t xml:space="preserve"> договори, </w:t>
      </w:r>
      <w:proofErr w:type="spellStart"/>
      <w:r w:rsidRPr="004229C1">
        <w:rPr>
          <w:rFonts w:ascii="Times New Roman" w:hAnsi="Times New Roman" w:cs="Times New Roman"/>
          <w:kern w:val="0"/>
          <w:lang w:val="uk-UA"/>
        </w:rPr>
        <w:t>укладенi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акцiонерами</w:t>
      </w:r>
      <w:proofErr w:type="spellEnd"/>
      <w:r w:rsidRPr="004229C1">
        <w:rPr>
          <w:rFonts w:ascii="Times New Roman" w:hAnsi="Times New Roman" w:cs="Times New Roman"/>
          <w:kern w:val="0"/>
          <w:lang w:val="uk-UA"/>
        </w:rPr>
        <w:t xml:space="preserve"> такого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яка наявна в </w:t>
      </w:r>
      <w:proofErr w:type="spellStart"/>
      <w:r w:rsidRPr="004229C1">
        <w:rPr>
          <w:rFonts w:ascii="Times New Roman" w:hAnsi="Times New Roman" w:cs="Times New Roman"/>
          <w:kern w:val="0"/>
          <w:lang w:val="uk-UA"/>
        </w:rPr>
        <w:t>емiтента</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в Банку зазначена </w:t>
      </w: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w:t>
      </w:r>
      <w:proofErr w:type="spellEnd"/>
      <w:r w:rsidRPr="004229C1">
        <w:rPr>
          <w:rFonts w:ascii="Times New Roman" w:hAnsi="Times New Roman" w:cs="Times New Roman"/>
          <w:kern w:val="0"/>
          <w:lang w:val="uk-UA"/>
        </w:rPr>
        <w:t>-сутня.</w:t>
      </w:r>
    </w:p>
    <w:p w14:paraId="61809D36" w14:textId="77777777" w:rsidR="001B0057" w:rsidRPr="004229C1" w:rsidRDefault="001B005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7F76E6CA"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будь-</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договори та/або правочини, умовою </w:t>
      </w:r>
      <w:proofErr w:type="spellStart"/>
      <w:r w:rsidRPr="004229C1">
        <w:rPr>
          <w:rFonts w:ascii="Times New Roman" w:hAnsi="Times New Roman" w:cs="Times New Roman"/>
          <w:kern w:val="0"/>
          <w:lang w:val="uk-UA"/>
        </w:rPr>
        <w:t>чинностi</w:t>
      </w:r>
      <w:proofErr w:type="spellEnd"/>
      <w:r w:rsidRPr="004229C1">
        <w:rPr>
          <w:rFonts w:ascii="Times New Roman" w:hAnsi="Times New Roman" w:cs="Times New Roman"/>
          <w:kern w:val="0"/>
          <w:lang w:val="uk-UA"/>
        </w:rPr>
        <w:t xml:space="preserve"> яких є </w:t>
      </w:r>
      <w:proofErr w:type="spellStart"/>
      <w:r w:rsidRPr="004229C1">
        <w:rPr>
          <w:rFonts w:ascii="Times New Roman" w:hAnsi="Times New Roman" w:cs="Times New Roman"/>
          <w:kern w:val="0"/>
          <w:lang w:val="uk-UA"/>
        </w:rPr>
        <w:t>незмiннiсть</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здiйснюють</w:t>
      </w:r>
      <w:proofErr w:type="spellEnd"/>
      <w:r w:rsidRPr="004229C1">
        <w:rPr>
          <w:rFonts w:ascii="Times New Roman" w:hAnsi="Times New Roman" w:cs="Times New Roman"/>
          <w:kern w:val="0"/>
          <w:lang w:val="uk-UA"/>
        </w:rPr>
        <w:t xml:space="preserve"> контроль над </w:t>
      </w:r>
      <w:proofErr w:type="spellStart"/>
      <w:r w:rsidRPr="004229C1">
        <w:rPr>
          <w:rFonts w:ascii="Times New Roman" w:hAnsi="Times New Roman" w:cs="Times New Roman"/>
          <w:kern w:val="0"/>
          <w:lang w:val="uk-UA"/>
        </w:rPr>
        <w:t>емiтентом</w:t>
      </w:r>
      <w:proofErr w:type="spellEnd"/>
      <w:r w:rsidRPr="004229C1">
        <w:rPr>
          <w:rFonts w:ascii="Times New Roman" w:hAnsi="Times New Roman" w:cs="Times New Roman"/>
          <w:kern w:val="0"/>
          <w:lang w:val="uk-UA"/>
        </w:rPr>
        <w:t xml:space="preserve">, не надається, </w:t>
      </w:r>
      <w:proofErr w:type="spellStart"/>
      <w:r w:rsidRPr="004229C1">
        <w:rPr>
          <w:rFonts w:ascii="Times New Roman" w:hAnsi="Times New Roman" w:cs="Times New Roman"/>
          <w:kern w:val="0"/>
          <w:lang w:val="uk-UA"/>
        </w:rPr>
        <w:t>оскiльки</w:t>
      </w:r>
      <w:proofErr w:type="spellEnd"/>
      <w:r w:rsidRPr="004229C1">
        <w:rPr>
          <w:rFonts w:ascii="Times New Roman" w:hAnsi="Times New Roman" w:cs="Times New Roman"/>
          <w:kern w:val="0"/>
          <w:lang w:val="uk-UA"/>
        </w:rPr>
        <w:t xml:space="preserve"> в Банку </w:t>
      </w:r>
      <w:proofErr w:type="spellStart"/>
      <w:r w:rsidRPr="004229C1">
        <w:rPr>
          <w:rFonts w:ascii="Times New Roman" w:hAnsi="Times New Roman" w:cs="Times New Roman"/>
          <w:kern w:val="0"/>
          <w:lang w:val="uk-UA"/>
        </w:rPr>
        <w:t>вiдсутня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iнформацiя</w:t>
      </w:r>
      <w:proofErr w:type="spellEnd"/>
      <w:r w:rsidRPr="004229C1">
        <w:rPr>
          <w:rFonts w:ascii="Times New Roman" w:hAnsi="Times New Roman" w:cs="Times New Roman"/>
          <w:kern w:val="0"/>
          <w:lang w:val="uk-UA"/>
        </w:rPr>
        <w:t xml:space="preserve"> про укладення зазначених </w:t>
      </w:r>
      <w:proofErr w:type="spellStart"/>
      <w:r w:rsidRPr="004229C1">
        <w:rPr>
          <w:rFonts w:ascii="Times New Roman" w:hAnsi="Times New Roman" w:cs="Times New Roman"/>
          <w:kern w:val="0"/>
          <w:lang w:val="uk-UA"/>
        </w:rPr>
        <w:t>договорiв</w:t>
      </w:r>
      <w:proofErr w:type="spellEnd"/>
      <w:r w:rsidRPr="004229C1">
        <w:rPr>
          <w:rFonts w:ascii="Times New Roman" w:hAnsi="Times New Roman" w:cs="Times New Roman"/>
          <w:kern w:val="0"/>
          <w:lang w:val="uk-UA"/>
        </w:rPr>
        <w:t xml:space="preserve"> та/або </w:t>
      </w:r>
      <w:proofErr w:type="spellStart"/>
      <w:r w:rsidRPr="004229C1">
        <w:rPr>
          <w:rFonts w:ascii="Times New Roman" w:hAnsi="Times New Roman" w:cs="Times New Roman"/>
          <w:kern w:val="0"/>
          <w:lang w:val="uk-UA"/>
        </w:rPr>
        <w:t>правочинiв</w:t>
      </w:r>
      <w:proofErr w:type="spellEnd"/>
      <w:r w:rsidRPr="004229C1">
        <w:rPr>
          <w:rFonts w:ascii="Times New Roman" w:hAnsi="Times New Roman" w:cs="Times New Roman"/>
          <w:kern w:val="0"/>
          <w:lang w:val="uk-UA"/>
        </w:rPr>
        <w:t>.</w:t>
      </w:r>
    </w:p>
    <w:p w14:paraId="5E10BE57" w14:textId="77777777" w:rsidR="007F0477" w:rsidRPr="004229C1" w:rsidRDefault="007F0477" w:rsidP="004A3B2B">
      <w:pPr>
        <w:widowControl w:val="0"/>
        <w:autoSpaceDE w:val="0"/>
        <w:autoSpaceDN w:val="0"/>
        <w:adjustRightInd w:val="0"/>
        <w:spacing w:after="0" w:line="240" w:lineRule="auto"/>
        <w:jc w:val="both"/>
        <w:rPr>
          <w:rFonts w:ascii="Times New Roman" w:hAnsi="Times New Roman" w:cs="Times New Roman"/>
          <w:kern w:val="0"/>
          <w:lang w:val="uk-UA"/>
        </w:rPr>
      </w:pPr>
    </w:p>
    <w:p w14:paraId="232780C9" w14:textId="1D3804BD" w:rsidR="001B0057" w:rsidRPr="004229C1" w:rsidRDefault="001B0057" w:rsidP="007F047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про виплату дивідендів та інших доходів за цінними паперами у звітному році не надається, оскільки виплати дивідендів у звітному періоді не було.</w:t>
      </w:r>
    </w:p>
    <w:p w14:paraId="7BB239AF" w14:textId="77777777" w:rsidR="001B0057" w:rsidRPr="004229C1" w:rsidRDefault="001B0057" w:rsidP="007F0477">
      <w:pPr>
        <w:widowControl w:val="0"/>
        <w:autoSpaceDE w:val="0"/>
        <w:autoSpaceDN w:val="0"/>
        <w:adjustRightInd w:val="0"/>
        <w:spacing w:after="0" w:line="240" w:lineRule="auto"/>
        <w:jc w:val="both"/>
        <w:rPr>
          <w:rFonts w:ascii="Times New Roman" w:hAnsi="Times New Roman" w:cs="Times New Roman"/>
          <w:kern w:val="0"/>
          <w:lang w:val="uk-UA"/>
        </w:rPr>
      </w:pPr>
    </w:p>
    <w:p w14:paraId="4BD6F280" w14:textId="09BB6D27" w:rsidR="001B0057" w:rsidRPr="004229C1" w:rsidRDefault="001B0057" w:rsidP="001B0057">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Інформація, пов’язана з емісією окремих видів цінних паперів (Інформація щодо іпотечних облігацій, Інформація щодо сертифікатів ФОН) не надається, оскільки емітент не здійснював емісію таких цінних паперів у звітному періоді.</w:t>
      </w:r>
    </w:p>
    <w:p w14:paraId="71926206" w14:textId="77777777" w:rsidR="001B0057" w:rsidRPr="004229C1" w:rsidRDefault="001B0057" w:rsidP="001B0057">
      <w:pPr>
        <w:widowControl w:val="0"/>
        <w:autoSpaceDE w:val="0"/>
        <w:autoSpaceDN w:val="0"/>
        <w:adjustRightInd w:val="0"/>
        <w:spacing w:after="0" w:line="240" w:lineRule="auto"/>
        <w:jc w:val="both"/>
        <w:rPr>
          <w:rFonts w:ascii="Times New Roman" w:hAnsi="Times New Roman" w:cs="Times New Roman"/>
          <w:kern w:val="0"/>
          <w:lang w:val="uk-UA"/>
        </w:rPr>
      </w:pPr>
    </w:p>
    <w:p w14:paraId="669EE958" w14:textId="77777777" w:rsidR="00D44E44" w:rsidRPr="004229C1" w:rsidRDefault="00D44E44">
      <w:pPr>
        <w:widowControl w:val="0"/>
        <w:autoSpaceDE w:val="0"/>
        <w:autoSpaceDN w:val="0"/>
        <w:adjustRightInd w:val="0"/>
        <w:spacing w:after="0" w:line="240" w:lineRule="auto"/>
        <w:jc w:val="both"/>
        <w:rPr>
          <w:rFonts w:ascii="Times New Roman" w:hAnsi="Times New Roman" w:cs="Times New Roman"/>
          <w:kern w:val="0"/>
          <w:lang w:val="uk-UA"/>
        </w:rPr>
      </w:pPr>
    </w:p>
    <w:p w14:paraId="45F832A5" w14:textId="77777777" w:rsidR="001B0057" w:rsidRPr="004229C1" w:rsidRDefault="001B0057">
      <w:pPr>
        <w:widowControl w:val="0"/>
        <w:autoSpaceDE w:val="0"/>
        <w:autoSpaceDN w:val="0"/>
        <w:adjustRightInd w:val="0"/>
        <w:spacing w:after="0" w:line="240" w:lineRule="auto"/>
        <w:jc w:val="both"/>
        <w:rPr>
          <w:rFonts w:ascii="Times New Roman" w:hAnsi="Times New Roman" w:cs="Times New Roman"/>
          <w:kern w:val="0"/>
          <w:lang w:val="uk-UA"/>
        </w:rPr>
      </w:pPr>
    </w:p>
    <w:p w14:paraId="4FBEA23A" w14:textId="77777777" w:rsidR="001B0057" w:rsidRPr="004229C1" w:rsidRDefault="001B0057">
      <w:pPr>
        <w:widowControl w:val="0"/>
        <w:autoSpaceDE w:val="0"/>
        <w:autoSpaceDN w:val="0"/>
        <w:adjustRightInd w:val="0"/>
        <w:spacing w:after="0" w:line="240" w:lineRule="auto"/>
        <w:jc w:val="both"/>
        <w:rPr>
          <w:rFonts w:ascii="Times New Roman" w:hAnsi="Times New Roman" w:cs="Times New Roman"/>
          <w:kern w:val="0"/>
          <w:lang w:val="uk-UA"/>
        </w:rPr>
      </w:pPr>
    </w:p>
    <w:p w14:paraId="2735A113" w14:textId="77777777" w:rsidR="001B0057" w:rsidRPr="004229C1" w:rsidRDefault="001B0057">
      <w:pPr>
        <w:widowControl w:val="0"/>
        <w:autoSpaceDE w:val="0"/>
        <w:autoSpaceDN w:val="0"/>
        <w:adjustRightInd w:val="0"/>
        <w:spacing w:after="0" w:line="240" w:lineRule="auto"/>
        <w:jc w:val="both"/>
        <w:rPr>
          <w:rFonts w:ascii="Times New Roman" w:hAnsi="Times New Roman" w:cs="Times New Roman"/>
          <w:kern w:val="0"/>
          <w:lang w:val="uk-UA"/>
        </w:rPr>
      </w:pPr>
    </w:p>
    <w:p w14:paraId="024967E3" w14:textId="77777777" w:rsidR="001B0057" w:rsidRPr="004229C1" w:rsidRDefault="001B0057">
      <w:pPr>
        <w:widowControl w:val="0"/>
        <w:autoSpaceDE w:val="0"/>
        <w:autoSpaceDN w:val="0"/>
        <w:adjustRightInd w:val="0"/>
        <w:spacing w:after="0" w:line="240" w:lineRule="auto"/>
        <w:jc w:val="both"/>
        <w:rPr>
          <w:rFonts w:ascii="Times New Roman" w:hAnsi="Times New Roman" w:cs="Times New Roman"/>
          <w:kern w:val="0"/>
          <w:lang w:val="uk-UA"/>
        </w:rPr>
      </w:pPr>
    </w:p>
    <w:p w14:paraId="6DC6F18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Зміст</w:t>
      </w:r>
    </w:p>
    <w:p w14:paraId="042DA7F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до річного звіту</w:t>
      </w:r>
    </w:p>
    <w:sdt>
      <w:sdtPr>
        <w:rPr>
          <w:rFonts w:ascii="Times New Roman" w:eastAsiaTheme="minorEastAsia" w:hAnsi="Times New Roman" w:cs="Times New Roman"/>
          <w:color w:val="auto"/>
          <w:kern w:val="2"/>
          <w:sz w:val="24"/>
          <w:szCs w:val="24"/>
          <w:lang w:val="uk-UA" w:eastAsia="ru-UA"/>
          <w14:ligatures w14:val="standardContextual"/>
        </w:rPr>
        <w:id w:val="1425384339"/>
        <w:docPartObj>
          <w:docPartGallery w:val="Table of Contents"/>
          <w:docPartUnique/>
        </w:docPartObj>
      </w:sdtPr>
      <w:sdtEndPr>
        <w:rPr>
          <w:b/>
          <w:bCs/>
        </w:rPr>
      </w:sdtEndPr>
      <w:sdtContent>
        <w:p w14:paraId="1B8BB72D" w14:textId="48228EFE" w:rsidR="00394FCC" w:rsidRPr="004229C1" w:rsidRDefault="00394FCC" w:rsidP="00D8764A">
          <w:pPr>
            <w:pStyle w:val="TOCHeading"/>
            <w:spacing w:before="0" w:line="240" w:lineRule="auto"/>
            <w:rPr>
              <w:rFonts w:ascii="Times New Roman" w:hAnsi="Times New Roman" w:cs="Times New Roman"/>
              <w:sz w:val="24"/>
              <w:szCs w:val="24"/>
              <w:lang w:val="uk-UA"/>
            </w:rPr>
          </w:pPr>
        </w:p>
        <w:p w14:paraId="6BB35CD9" w14:textId="7F4E23F7" w:rsidR="00124344" w:rsidRPr="004229C1" w:rsidRDefault="00394FCC">
          <w:pPr>
            <w:pStyle w:val="TOC1"/>
            <w:tabs>
              <w:tab w:val="right" w:leader="dot" w:pos="10790"/>
            </w:tabs>
            <w:rPr>
              <w:rFonts w:ascii="Times New Roman" w:hAnsi="Times New Roman" w:cs="Times New Roman"/>
              <w:noProof/>
              <w:lang w:val="uk-UA" w:eastAsia="en-US"/>
            </w:rPr>
          </w:pPr>
          <w:r w:rsidRPr="004229C1">
            <w:rPr>
              <w:rFonts w:ascii="Times New Roman" w:hAnsi="Times New Roman" w:cs="Times New Roman"/>
              <w:lang w:val="uk-UA"/>
            </w:rPr>
            <w:fldChar w:fldCharType="begin"/>
          </w:r>
          <w:r w:rsidRPr="004229C1">
            <w:rPr>
              <w:rFonts w:ascii="Times New Roman" w:hAnsi="Times New Roman" w:cs="Times New Roman"/>
              <w:lang w:val="uk-UA"/>
            </w:rPr>
            <w:instrText xml:space="preserve"> TOC \o "1-3" \h \z \u </w:instrText>
          </w:r>
          <w:r w:rsidRPr="004229C1">
            <w:rPr>
              <w:rFonts w:ascii="Times New Roman" w:hAnsi="Times New Roman" w:cs="Times New Roman"/>
              <w:lang w:val="uk-UA"/>
            </w:rPr>
            <w:fldChar w:fldCharType="separate"/>
          </w:r>
          <w:hyperlink w:anchor="_Toc200057382" w:history="1">
            <w:r w:rsidR="00124344" w:rsidRPr="004229C1">
              <w:rPr>
                <w:rStyle w:val="Hyperlink"/>
                <w:rFonts w:ascii="Times New Roman" w:hAnsi="Times New Roman" w:cs="Times New Roman"/>
                <w:noProof/>
                <w:lang w:val="uk-UA"/>
              </w:rPr>
              <w:t>I. Загальна інформація</w:t>
            </w:r>
            <w:r w:rsidR="00124344" w:rsidRPr="004229C1">
              <w:rPr>
                <w:rFonts w:ascii="Times New Roman" w:hAnsi="Times New Roman" w:cs="Times New Roman"/>
                <w:noProof/>
                <w:webHidden/>
                <w:lang w:val="uk-UA"/>
              </w:rPr>
              <w:tab/>
            </w:r>
            <w:r w:rsidR="00124344" w:rsidRPr="004229C1">
              <w:rPr>
                <w:rFonts w:ascii="Times New Roman" w:hAnsi="Times New Roman" w:cs="Times New Roman"/>
                <w:noProof/>
                <w:webHidden/>
                <w:lang w:val="uk-UA"/>
              </w:rPr>
              <w:fldChar w:fldCharType="begin"/>
            </w:r>
            <w:r w:rsidR="00124344" w:rsidRPr="004229C1">
              <w:rPr>
                <w:rFonts w:ascii="Times New Roman" w:hAnsi="Times New Roman" w:cs="Times New Roman"/>
                <w:noProof/>
                <w:webHidden/>
                <w:lang w:val="uk-UA"/>
              </w:rPr>
              <w:instrText xml:space="preserve"> PAGEREF _Toc200057382 \h </w:instrText>
            </w:r>
            <w:r w:rsidR="00124344" w:rsidRPr="004229C1">
              <w:rPr>
                <w:rFonts w:ascii="Times New Roman" w:hAnsi="Times New Roman" w:cs="Times New Roman"/>
                <w:noProof/>
                <w:webHidden/>
                <w:lang w:val="uk-UA"/>
              </w:rPr>
            </w:r>
            <w:r w:rsidR="00124344"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6</w:t>
            </w:r>
            <w:r w:rsidR="00124344" w:rsidRPr="004229C1">
              <w:rPr>
                <w:rFonts w:ascii="Times New Roman" w:hAnsi="Times New Roman" w:cs="Times New Roman"/>
                <w:noProof/>
                <w:webHidden/>
                <w:lang w:val="uk-UA"/>
              </w:rPr>
              <w:fldChar w:fldCharType="end"/>
            </w:r>
          </w:hyperlink>
        </w:p>
        <w:p w14:paraId="5AFDE425" w14:textId="6100BB36" w:rsidR="00124344" w:rsidRPr="004229C1" w:rsidRDefault="00124344">
          <w:pPr>
            <w:pStyle w:val="TOC2"/>
            <w:tabs>
              <w:tab w:val="right" w:leader="dot" w:pos="10790"/>
            </w:tabs>
            <w:rPr>
              <w:rFonts w:ascii="Times New Roman" w:hAnsi="Times New Roman" w:cs="Times New Roman"/>
              <w:noProof/>
              <w:lang w:val="uk-UA" w:eastAsia="en-US"/>
            </w:rPr>
          </w:pPr>
          <w:hyperlink w:anchor="_Toc200057383" w:history="1">
            <w:r w:rsidRPr="004229C1">
              <w:rPr>
                <w:rStyle w:val="Hyperlink"/>
                <w:rFonts w:ascii="Times New Roman" w:hAnsi="Times New Roman" w:cs="Times New Roman"/>
                <w:noProof/>
                <w:lang w:val="uk-UA"/>
              </w:rPr>
              <w:t>1. Ідентифікаційні дані та загальна інформація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_Toc200057383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6</w:t>
            </w:r>
            <w:r w:rsidRPr="004229C1">
              <w:rPr>
                <w:rFonts w:ascii="Times New Roman" w:hAnsi="Times New Roman" w:cs="Times New Roman"/>
                <w:noProof/>
                <w:webHidden/>
                <w:lang w:val="uk-UA"/>
              </w:rPr>
              <w:fldChar w:fldCharType="end"/>
            </w:r>
          </w:hyperlink>
        </w:p>
        <w:p w14:paraId="59264E42" w14:textId="4A1E2C44" w:rsidR="00124344" w:rsidRPr="004229C1" w:rsidRDefault="00124344">
          <w:pPr>
            <w:pStyle w:val="TOC2"/>
            <w:tabs>
              <w:tab w:val="right" w:leader="dot" w:pos="10790"/>
            </w:tabs>
            <w:rPr>
              <w:rFonts w:ascii="Times New Roman" w:hAnsi="Times New Roman" w:cs="Times New Roman"/>
              <w:noProof/>
              <w:lang w:val="uk-UA" w:eastAsia="en-US"/>
            </w:rPr>
          </w:pPr>
          <w:hyperlink w:anchor="_Toc200057384" w:history="1">
            <w:r w:rsidRPr="004229C1">
              <w:rPr>
                <w:rStyle w:val="Hyperlink"/>
                <w:rFonts w:ascii="Times New Roman" w:hAnsi="Times New Roman" w:cs="Times New Roman"/>
                <w:noProof/>
                <w:lang w:val="uk-UA"/>
              </w:rPr>
              <w:t>2. Органи управління та посадові особи. Організаційна структура</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_Toc200057384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w:t>
            </w:r>
            <w:r w:rsidRPr="004229C1">
              <w:rPr>
                <w:rFonts w:ascii="Times New Roman" w:hAnsi="Times New Roman" w:cs="Times New Roman"/>
                <w:noProof/>
                <w:webHidden/>
                <w:lang w:val="uk-UA"/>
              </w:rPr>
              <w:fldChar w:fldCharType="end"/>
            </w:r>
          </w:hyperlink>
        </w:p>
        <w:p w14:paraId="2D952C9E" w14:textId="29541DBD" w:rsidR="00124344" w:rsidRPr="004229C1" w:rsidRDefault="00124344">
          <w:pPr>
            <w:pStyle w:val="TOC2"/>
            <w:tabs>
              <w:tab w:val="right" w:leader="dot" w:pos="10790"/>
            </w:tabs>
            <w:rPr>
              <w:rFonts w:ascii="Times New Roman" w:hAnsi="Times New Roman" w:cs="Times New Roman"/>
              <w:noProof/>
              <w:lang w:val="uk-UA" w:eastAsia="en-US"/>
            </w:rPr>
          </w:pPr>
          <w:hyperlink w:anchor="_Toc200057385" w:history="1">
            <w:r w:rsidRPr="004229C1">
              <w:rPr>
                <w:rStyle w:val="Hyperlink"/>
                <w:rFonts w:ascii="Times New Roman" w:hAnsi="Times New Roman" w:cs="Times New Roman"/>
                <w:noProof/>
                <w:lang w:val="uk-UA"/>
              </w:rPr>
              <w:t>3. Структура власності</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_Toc200057385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17</w:t>
            </w:r>
            <w:r w:rsidRPr="004229C1">
              <w:rPr>
                <w:rFonts w:ascii="Times New Roman" w:hAnsi="Times New Roman" w:cs="Times New Roman"/>
                <w:noProof/>
                <w:webHidden/>
                <w:lang w:val="uk-UA"/>
              </w:rPr>
              <w:fldChar w:fldCharType="end"/>
            </w:r>
          </w:hyperlink>
        </w:p>
        <w:p w14:paraId="4EDD7FCA" w14:textId="44B4DC50" w:rsidR="00124344" w:rsidRPr="004229C1" w:rsidRDefault="00124344">
          <w:pPr>
            <w:pStyle w:val="TOC2"/>
            <w:tabs>
              <w:tab w:val="right" w:leader="dot" w:pos="10790"/>
            </w:tabs>
            <w:rPr>
              <w:rFonts w:ascii="Times New Roman" w:hAnsi="Times New Roman" w:cs="Times New Roman"/>
              <w:noProof/>
              <w:lang w:val="uk-UA" w:eastAsia="en-US"/>
            </w:rPr>
          </w:pPr>
          <w:hyperlink w:anchor="_Toc200057386" w:history="1">
            <w:r w:rsidRPr="004229C1">
              <w:rPr>
                <w:rStyle w:val="Hyperlink"/>
                <w:rFonts w:ascii="Times New Roman" w:hAnsi="Times New Roman" w:cs="Times New Roman"/>
                <w:noProof/>
                <w:lang w:val="uk-UA"/>
              </w:rPr>
              <w:t>4. Опис господарської та фінансової діяльності</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_Toc200057386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17</w:t>
            </w:r>
            <w:r w:rsidRPr="004229C1">
              <w:rPr>
                <w:rFonts w:ascii="Times New Roman" w:hAnsi="Times New Roman" w:cs="Times New Roman"/>
                <w:noProof/>
                <w:webHidden/>
                <w:lang w:val="uk-UA"/>
              </w:rPr>
              <w:fldChar w:fldCharType="end"/>
            </w:r>
          </w:hyperlink>
        </w:p>
        <w:p w14:paraId="227C52C8" w14:textId="407CBD0C" w:rsidR="00124344" w:rsidRPr="004229C1" w:rsidRDefault="00124344">
          <w:pPr>
            <w:pStyle w:val="TOC2"/>
            <w:tabs>
              <w:tab w:val="right" w:leader="dot" w:pos="10790"/>
            </w:tabs>
            <w:rPr>
              <w:rFonts w:ascii="Times New Roman" w:hAnsi="Times New Roman" w:cs="Times New Roman"/>
              <w:noProof/>
              <w:lang w:val="uk-UA" w:eastAsia="en-US"/>
            </w:rPr>
          </w:pPr>
          <w:hyperlink w:anchor="_Toc200057387" w:history="1">
            <w:r w:rsidRPr="004229C1">
              <w:rPr>
                <w:rStyle w:val="Hyperlink"/>
                <w:rFonts w:ascii="Times New Roman" w:hAnsi="Times New Roman" w:cs="Times New Roman"/>
                <w:noProof/>
                <w:lang w:val="uk-UA"/>
              </w:rPr>
              <w:t>6. Відокремлені підрозділи</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_Toc200057387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39</w:t>
            </w:r>
            <w:r w:rsidRPr="004229C1">
              <w:rPr>
                <w:rFonts w:ascii="Times New Roman" w:hAnsi="Times New Roman" w:cs="Times New Roman"/>
                <w:noProof/>
                <w:webHidden/>
                <w:lang w:val="uk-UA"/>
              </w:rPr>
              <w:fldChar w:fldCharType="end"/>
            </w:r>
          </w:hyperlink>
        </w:p>
        <w:p w14:paraId="168099CD" w14:textId="5608E5C7" w:rsidR="00124344" w:rsidRPr="004229C1" w:rsidRDefault="00124344">
          <w:pPr>
            <w:pStyle w:val="TOC1"/>
            <w:tabs>
              <w:tab w:val="right" w:leader="dot" w:pos="10790"/>
            </w:tabs>
            <w:rPr>
              <w:rFonts w:ascii="Times New Roman" w:hAnsi="Times New Roman" w:cs="Times New Roman"/>
              <w:noProof/>
              <w:lang w:val="uk-UA" w:eastAsia="en-US"/>
            </w:rPr>
          </w:pPr>
          <w:hyperlink w:anchor="_Toc200057388" w:history="1">
            <w:r w:rsidRPr="004229C1">
              <w:rPr>
                <w:rStyle w:val="Hyperlink"/>
                <w:rFonts w:ascii="Times New Roman" w:hAnsi="Times New Roman" w:cs="Times New Roman"/>
                <w:noProof/>
                <w:lang w:val="uk-UA"/>
              </w:rPr>
              <w:t>II. Інформація щодо капіталу та цінних паперів</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_Toc200057388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39</w:t>
            </w:r>
            <w:r w:rsidRPr="004229C1">
              <w:rPr>
                <w:rFonts w:ascii="Times New Roman" w:hAnsi="Times New Roman" w:cs="Times New Roman"/>
                <w:noProof/>
                <w:webHidden/>
                <w:lang w:val="uk-UA"/>
              </w:rPr>
              <w:fldChar w:fldCharType="end"/>
            </w:r>
          </w:hyperlink>
        </w:p>
        <w:p w14:paraId="5E990A76" w14:textId="4C5762C9" w:rsidR="00124344" w:rsidRPr="004229C1" w:rsidRDefault="00124344">
          <w:pPr>
            <w:pStyle w:val="TOC2"/>
            <w:tabs>
              <w:tab w:val="right" w:leader="dot" w:pos="10790"/>
            </w:tabs>
            <w:rPr>
              <w:rFonts w:ascii="Times New Roman" w:hAnsi="Times New Roman" w:cs="Times New Roman"/>
              <w:noProof/>
              <w:lang w:val="uk-UA" w:eastAsia="en-US"/>
            </w:rPr>
          </w:pPr>
          <w:hyperlink w:anchor="_Toc200057389" w:history="1">
            <w:r w:rsidRPr="004229C1">
              <w:rPr>
                <w:rStyle w:val="Hyperlink"/>
                <w:rFonts w:ascii="Times New Roman" w:hAnsi="Times New Roman" w:cs="Times New Roman"/>
                <w:noProof/>
                <w:lang w:val="uk-UA"/>
              </w:rPr>
              <w:t>1. Структура капіталу</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_Toc200057389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39</w:t>
            </w:r>
            <w:r w:rsidRPr="004229C1">
              <w:rPr>
                <w:rFonts w:ascii="Times New Roman" w:hAnsi="Times New Roman" w:cs="Times New Roman"/>
                <w:noProof/>
                <w:webHidden/>
                <w:lang w:val="uk-UA"/>
              </w:rPr>
              <w:fldChar w:fldCharType="end"/>
            </w:r>
          </w:hyperlink>
        </w:p>
        <w:p w14:paraId="30334B87" w14:textId="6C19F8E5" w:rsidR="00124344" w:rsidRPr="004229C1" w:rsidRDefault="00124344">
          <w:pPr>
            <w:pStyle w:val="TOC2"/>
            <w:tabs>
              <w:tab w:val="right" w:leader="dot" w:pos="10790"/>
            </w:tabs>
            <w:rPr>
              <w:rFonts w:ascii="Times New Roman" w:hAnsi="Times New Roman" w:cs="Times New Roman"/>
              <w:noProof/>
              <w:lang w:val="uk-UA" w:eastAsia="en-US"/>
            </w:rPr>
          </w:pPr>
          <w:hyperlink w:anchor="_Toc200057390" w:history="1">
            <w:r w:rsidRPr="004229C1">
              <w:rPr>
                <w:rStyle w:val="Hyperlink"/>
                <w:rFonts w:ascii="Times New Roman" w:hAnsi="Times New Roman" w:cs="Times New Roman"/>
                <w:noProof/>
                <w:lang w:val="uk-UA"/>
              </w:rPr>
              <w:t>3. Цінні папери</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_Toc200057390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41</w:t>
            </w:r>
            <w:r w:rsidRPr="004229C1">
              <w:rPr>
                <w:rFonts w:ascii="Times New Roman" w:hAnsi="Times New Roman" w:cs="Times New Roman"/>
                <w:noProof/>
                <w:webHidden/>
                <w:lang w:val="uk-UA"/>
              </w:rPr>
              <w:fldChar w:fldCharType="end"/>
            </w:r>
          </w:hyperlink>
        </w:p>
        <w:p w14:paraId="3AE53AC8" w14:textId="12502196" w:rsidR="00124344" w:rsidRPr="004229C1" w:rsidRDefault="00124344">
          <w:pPr>
            <w:pStyle w:val="TOC1"/>
            <w:tabs>
              <w:tab w:val="right" w:leader="dot" w:pos="10790"/>
            </w:tabs>
            <w:rPr>
              <w:rFonts w:ascii="Times New Roman" w:hAnsi="Times New Roman" w:cs="Times New Roman"/>
              <w:noProof/>
              <w:lang w:val="uk-UA" w:eastAsia="en-US"/>
            </w:rPr>
          </w:pPr>
          <w:hyperlink w:anchor="_Toc200057391" w:history="1">
            <w:r w:rsidRPr="004229C1">
              <w:rPr>
                <w:rStyle w:val="Hyperlink"/>
                <w:rFonts w:ascii="Times New Roman" w:hAnsi="Times New Roman" w:cs="Times New Roman"/>
                <w:noProof/>
                <w:lang w:val="uk-UA"/>
              </w:rPr>
              <w:t>III. Фінансова інформація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_Toc200057391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43</w:t>
            </w:r>
            <w:r w:rsidRPr="004229C1">
              <w:rPr>
                <w:rFonts w:ascii="Times New Roman" w:hAnsi="Times New Roman" w:cs="Times New Roman"/>
                <w:noProof/>
                <w:webHidden/>
                <w:lang w:val="uk-UA"/>
              </w:rPr>
              <w:fldChar w:fldCharType="end"/>
            </w:r>
          </w:hyperlink>
        </w:p>
        <w:p w14:paraId="070CE21A" w14:textId="5A35C383" w:rsidR="00124344" w:rsidRPr="004229C1" w:rsidRDefault="00124344">
          <w:pPr>
            <w:pStyle w:val="TOC2"/>
            <w:tabs>
              <w:tab w:val="right" w:leader="dot" w:pos="10790"/>
            </w:tabs>
            <w:rPr>
              <w:rFonts w:ascii="Times New Roman" w:hAnsi="Times New Roman" w:cs="Times New Roman"/>
              <w:noProof/>
              <w:lang w:val="uk-UA" w:eastAsia="en-US"/>
            </w:rPr>
          </w:pPr>
          <w:hyperlink w:anchor="_Toc200057392" w:history="1">
            <w:r w:rsidRPr="004229C1">
              <w:rPr>
                <w:rStyle w:val="Hyperlink"/>
                <w:rFonts w:ascii="Times New Roman" w:hAnsi="Times New Roman" w:cs="Times New Roman"/>
                <w:noProof/>
                <w:lang w:val="uk-UA"/>
              </w:rPr>
              <w:t>2. Річна фінансова звітність</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_Toc200057392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43</w:t>
            </w:r>
            <w:r w:rsidRPr="004229C1">
              <w:rPr>
                <w:rFonts w:ascii="Times New Roman" w:hAnsi="Times New Roman" w:cs="Times New Roman"/>
                <w:noProof/>
                <w:webHidden/>
                <w:lang w:val="uk-UA"/>
              </w:rPr>
              <w:fldChar w:fldCharType="end"/>
            </w:r>
          </w:hyperlink>
        </w:p>
        <w:p w14:paraId="144AB1F3" w14:textId="4B646B9B" w:rsidR="00124344" w:rsidRPr="004229C1" w:rsidRDefault="00124344">
          <w:pPr>
            <w:pStyle w:val="TOC2"/>
            <w:tabs>
              <w:tab w:val="right" w:leader="dot" w:pos="10790"/>
            </w:tabs>
            <w:rPr>
              <w:rFonts w:ascii="Times New Roman" w:hAnsi="Times New Roman" w:cs="Times New Roman"/>
              <w:noProof/>
              <w:lang w:val="uk-UA" w:eastAsia="en-US"/>
            </w:rPr>
          </w:pPr>
          <w:hyperlink w:anchor="_Toc200057393" w:history="1">
            <w:r w:rsidRPr="004229C1">
              <w:rPr>
                <w:rStyle w:val="Hyperlink"/>
                <w:rFonts w:ascii="Times New Roman" w:hAnsi="Times New Roman" w:cs="Times New Roman"/>
                <w:noProof/>
                <w:lang w:val="uk-UA"/>
              </w:rPr>
              <w:t>3. Аудиторський звіт до річної фінансової звітності</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_Toc200057393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43</w:t>
            </w:r>
            <w:r w:rsidRPr="004229C1">
              <w:rPr>
                <w:rFonts w:ascii="Times New Roman" w:hAnsi="Times New Roman" w:cs="Times New Roman"/>
                <w:noProof/>
                <w:webHidden/>
                <w:lang w:val="uk-UA"/>
              </w:rPr>
              <w:fldChar w:fldCharType="end"/>
            </w:r>
          </w:hyperlink>
        </w:p>
        <w:p w14:paraId="10997B17" w14:textId="7BF9EA9A" w:rsidR="00124344" w:rsidRPr="004229C1" w:rsidRDefault="00124344">
          <w:pPr>
            <w:pStyle w:val="TOC2"/>
            <w:tabs>
              <w:tab w:val="right" w:leader="dot" w:pos="10790"/>
            </w:tabs>
            <w:rPr>
              <w:rFonts w:ascii="Times New Roman" w:hAnsi="Times New Roman" w:cs="Times New Roman"/>
              <w:noProof/>
              <w:lang w:val="uk-UA" w:eastAsia="en-US"/>
            </w:rPr>
          </w:pPr>
          <w:hyperlink w:anchor="_Toc200057394" w:history="1">
            <w:r w:rsidRPr="004229C1">
              <w:rPr>
                <w:rStyle w:val="Hyperlink"/>
                <w:rFonts w:ascii="Times New Roman" w:hAnsi="Times New Roman" w:cs="Times New Roman"/>
                <w:noProof/>
                <w:lang w:val="uk-UA"/>
              </w:rPr>
              <w:t>4. Твердження щодо річної інформації</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_Toc200057394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48</w:t>
            </w:r>
            <w:r w:rsidRPr="004229C1">
              <w:rPr>
                <w:rFonts w:ascii="Times New Roman" w:hAnsi="Times New Roman" w:cs="Times New Roman"/>
                <w:noProof/>
                <w:webHidden/>
                <w:lang w:val="uk-UA"/>
              </w:rPr>
              <w:fldChar w:fldCharType="end"/>
            </w:r>
          </w:hyperlink>
        </w:p>
        <w:p w14:paraId="6B13E397" w14:textId="41AD5B24" w:rsidR="00124344" w:rsidRPr="004229C1" w:rsidRDefault="00124344">
          <w:pPr>
            <w:pStyle w:val="TOC1"/>
            <w:tabs>
              <w:tab w:val="right" w:leader="dot" w:pos="10790"/>
            </w:tabs>
            <w:rPr>
              <w:rFonts w:ascii="Times New Roman" w:hAnsi="Times New Roman" w:cs="Times New Roman"/>
              <w:noProof/>
              <w:lang w:val="uk-UA" w:eastAsia="en-US"/>
            </w:rPr>
          </w:pPr>
          <w:hyperlink w:anchor="_Toc200057395" w:history="1">
            <w:r w:rsidRPr="004229C1">
              <w:rPr>
                <w:rStyle w:val="Hyperlink"/>
                <w:rFonts w:ascii="Times New Roman" w:hAnsi="Times New Roman" w:cs="Times New Roman"/>
                <w:noProof/>
                <w:lang w:val="uk-UA"/>
              </w:rPr>
              <w:t>IV. Нефінансова інформація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_Toc200057395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49</w:t>
            </w:r>
            <w:r w:rsidRPr="004229C1">
              <w:rPr>
                <w:rFonts w:ascii="Times New Roman" w:hAnsi="Times New Roman" w:cs="Times New Roman"/>
                <w:noProof/>
                <w:webHidden/>
                <w:lang w:val="uk-UA"/>
              </w:rPr>
              <w:fldChar w:fldCharType="end"/>
            </w:r>
          </w:hyperlink>
        </w:p>
        <w:p w14:paraId="750F0792" w14:textId="16BAB448" w:rsidR="00124344" w:rsidRPr="004229C1" w:rsidRDefault="00124344">
          <w:pPr>
            <w:pStyle w:val="TOC2"/>
            <w:tabs>
              <w:tab w:val="right" w:leader="dot" w:pos="10790"/>
            </w:tabs>
            <w:rPr>
              <w:rFonts w:ascii="Times New Roman" w:hAnsi="Times New Roman" w:cs="Times New Roman"/>
              <w:noProof/>
              <w:lang w:val="uk-UA" w:eastAsia="en-US"/>
            </w:rPr>
          </w:pPr>
          <w:hyperlink w:anchor="_Toc200057396" w:history="1">
            <w:r w:rsidRPr="004229C1">
              <w:rPr>
                <w:rStyle w:val="Hyperlink"/>
                <w:rFonts w:ascii="Times New Roman" w:hAnsi="Times New Roman" w:cs="Times New Roman"/>
                <w:noProof/>
                <w:lang w:val="uk-UA"/>
              </w:rPr>
              <w:t>1. Звіт керівництва (звіт про управління)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_Toc200057396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49</w:t>
            </w:r>
            <w:r w:rsidRPr="004229C1">
              <w:rPr>
                <w:rFonts w:ascii="Times New Roman" w:hAnsi="Times New Roman" w:cs="Times New Roman"/>
                <w:noProof/>
                <w:webHidden/>
                <w:lang w:val="uk-UA"/>
              </w:rPr>
              <w:fldChar w:fldCharType="end"/>
            </w:r>
          </w:hyperlink>
        </w:p>
        <w:p w14:paraId="5CA265A5" w14:textId="6B7D2C99" w:rsidR="00124344" w:rsidRPr="004229C1" w:rsidRDefault="00124344">
          <w:pPr>
            <w:pStyle w:val="TOC2"/>
            <w:tabs>
              <w:tab w:val="right" w:leader="dot" w:pos="10790"/>
            </w:tabs>
            <w:rPr>
              <w:rFonts w:ascii="Times New Roman" w:hAnsi="Times New Roman" w:cs="Times New Roman"/>
              <w:noProof/>
              <w:lang w:val="uk-UA" w:eastAsia="en-US"/>
            </w:rPr>
          </w:pPr>
          <w:hyperlink w:anchor="_Toc200057397" w:history="1">
            <w:r w:rsidRPr="004229C1">
              <w:rPr>
                <w:rStyle w:val="Hyperlink"/>
                <w:rFonts w:ascii="Times New Roman" w:hAnsi="Times New Roman" w:cs="Times New Roman"/>
                <w:noProof/>
                <w:lang w:val="uk-UA"/>
              </w:rPr>
              <w:t>1) звіт про корпоративне управління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_Toc200057397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53</w:t>
            </w:r>
            <w:r w:rsidRPr="004229C1">
              <w:rPr>
                <w:rFonts w:ascii="Times New Roman" w:hAnsi="Times New Roman" w:cs="Times New Roman"/>
                <w:noProof/>
                <w:webHidden/>
                <w:lang w:val="uk-UA"/>
              </w:rPr>
              <w:fldChar w:fldCharType="end"/>
            </w:r>
          </w:hyperlink>
        </w:p>
        <w:p w14:paraId="5D2263A6" w14:textId="6CB9D1E7" w:rsidR="00124344" w:rsidRPr="004229C1" w:rsidRDefault="00124344">
          <w:pPr>
            <w:pStyle w:val="TOC2"/>
            <w:tabs>
              <w:tab w:val="right" w:leader="dot" w:pos="10790"/>
            </w:tabs>
            <w:rPr>
              <w:rFonts w:ascii="Times New Roman" w:hAnsi="Times New Roman" w:cs="Times New Roman"/>
              <w:noProof/>
              <w:lang w:val="uk-UA" w:eastAsia="en-US"/>
            </w:rPr>
          </w:pPr>
          <w:hyperlink w:anchor="_Toc200057398" w:history="1">
            <w:r w:rsidRPr="004229C1">
              <w:rPr>
                <w:rStyle w:val="Hyperlink"/>
                <w:rFonts w:ascii="Times New Roman" w:hAnsi="Times New Roman" w:cs="Times New Roman"/>
                <w:noProof/>
                <w:lang w:val="uk-UA"/>
              </w:rPr>
              <w:t>2) звіт про сталий розвиток</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_Toc200057398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83</w:t>
            </w:r>
            <w:r w:rsidRPr="004229C1">
              <w:rPr>
                <w:rFonts w:ascii="Times New Roman" w:hAnsi="Times New Roman" w:cs="Times New Roman"/>
                <w:noProof/>
                <w:webHidden/>
                <w:lang w:val="uk-UA"/>
              </w:rPr>
              <w:fldChar w:fldCharType="end"/>
            </w:r>
          </w:hyperlink>
        </w:p>
        <w:p w14:paraId="0B55C90D" w14:textId="0712AC76" w:rsidR="00124344" w:rsidRPr="004229C1" w:rsidRDefault="00124344">
          <w:pPr>
            <w:pStyle w:val="TOC2"/>
            <w:tabs>
              <w:tab w:val="right" w:leader="dot" w:pos="10790"/>
            </w:tabs>
            <w:rPr>
              <w:rFonts w:ascii="Times New Roman" w:hAnsi="Times New Roman" w:cs="Times New Roman"/>
              <w:noProof/>
              <w:lang w:val="uk-UA" w:eastAsia="en-US"/>
            </w:rPr>
          </w:pPr>
          <w:hyperlink w:anchor="_Toc200057399" w:history="1">
            <w:r w:rsidRPr="004229C1">
              <w:rPr>
                <w:rStyle w:val="Hyperlink"/>
                <w:rFonts w:ascii="Times New Roman" w:hAnsi="Times New Roman" w:cs="Times New Roman"/>
                <w:noProof/>
                <w:lang w:val="uk-UA"/>
              </w:rPr>
              <w:t xml:space="preserve">3. </w:t>
            </w:r>
            <w:r w:rsidR="00867E02" w:rsidRPr="004229C1">
              <w:rPr>
                <w:rStyle w:val="Hyperlink"/>
                <w:rFonts w:ascii="Times New Roman" w:hAnsi="Times New Roman" w:cs="Times New Roman"/>
                <w:noProof/>
                <w:lang w:val="uk-UA"/>
              </w:rPr>
              <w:t>Д</w:t>
            </w:r>
            <w:r w:rsidRPr="004229C1">
              <w:rPr>
                <w:rStyle w:val="Hyperlink"/>
                <w:rFonts w:ascii="Times New Roman" w:hAnsi="Times New Roman" w:cs="Times New Roman"/>
                <w:noProof/>
                <w:lang w:val="uk-UA"/>
              </w:rPr>
              <w:t>ивідендна політика</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_Toc200057399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94</w:t>
            </w:r>
            <w:r w:rsidRPr="004229C1">
              <w:rPr>
                <w:rFonts w:ascii="Times New Roman" w:hAnsi="Times New Roman" w:cs="Times New Roman"/>
                <w:noProof/>
                <w:webHidden/>
                <w:lang w:val="uk-UA"/>
              </w:rPr>
              <w:fldChar w:fldCharType="end"/>
            </w:r>
          </w:hyperlink>
        </w:p>
        <w:p w14:paraId="750EA0DB" w14:textId="21F5CBE9" w:rsidR="00124344" w:rsidRPr="004229C1" w:rsidRDefault="00124344">
          <w:pPr>
            <w:pStyle w:val="TOC2"/>
            <w:tabs>
              <w:tab w:val="right" w:leader="dot" w:pos="10790"/>
            </w:tabs>
            <w:rPr>
              <w:rFonts w:ascii="Times New Roman" w:hAnsi="Times New Roman" w:cs="Times New Roman"/>
              <w:noProof/>
              <w:lang w:val="uk-UA" w:eastAsia="en-US"/>
            </w:rPr>
          </w:pPr>
          <w:hyperlink w:anchor="_Toc200057400" w:history="1">
            <w:r w:rsidRPr="004229C1">
              <w:rPr>
                <w:rStyle w:val="Hyperlink"/>
                <w:rFonts w:ascii="Times New Roman" w:hAnsi="Times New Roman" w:cs="Times New Roman"/>
                <w:noProof/>
                <w:lang w:val="uk-UA"/>
              </w:rPr>
              <w:t>5. Перелік посилань на внутрішні документи особи, що розміщені на вебсайті особи</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_Toc200057400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95</w:t>
            </w:r>
            <w:r w:rsidRPr="004229C1">
              <w:rPr>
                <w:rFonts w:ascii="Times New Roman" w:hAnsi="Times New Roman" w:cs="Times New Roman"/>
                <w:noProof/>
                <w:webHidden/>
                <w:lang w:val="uk-UA"/>
              </w:rPr>
              <w:fldChar w:fldCharType="end"/>
            </w:r>
          </w:hyperlink>
        </w:p>
        <w:p w14:paraId="4D3DE70C" w14:textId="25C0DC80" w:rsidR="00124344" w:rsidRPr="004229C1" w:rsidRDefault="00124344">
          <w:pPr>
            <w:pStyle w:val="TOC1"/>
            <w:tabs>
              <w:tab w:val="right" w:leader="dot" w:pos="10790"/>
            </w:tabs>
            <w:rPr>
              <w:rFonts w:ascii="Times New Roman" w:hAnsi="Times New Roman" w:cs="Times New Roman"/>
              <w:noProof/>
              <w:lang w:val="uk-UA" w:eastAsia="en-US"/>
            </w:rPr>
          </w:pPr>
          <w:hyperlink w:anchor="_Toc200057401" w:history="1">
            <w:r w:rsidRPr="004229C1">
              <w:rPr>
                <w:rStyle w:val="Hyperlink"/>
                <w:rFonts w:ascii="Times New Roman" w:hAnsi="Times New Roman" w:cs="Times New Roman"/>
                <w:noProof/>
                <w:lang w:val="uk-UA"/>
              </w:rPr>
              <w:t>VI. Список посилань на регульовану інформацію, яка була розкрита протягом звітного року</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_Toc200057401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95</w:t>
            </w:r>
            <w:r w:rsidRPr="004229C1">
              <w:rPr>
                <w:rFonts w:ascii="Times New Roman" w:hAnsi="Times New Roman" w:cs="Times New Roman"/>
                <w:noProof/>
                <w:webHidden/>
                <w:lang w:val="uk-UA"/>
              </w:rPr>
              <w:fldChar w:fldCharType="end"/>
            </w:r>
          </w:hyperlink>
        </w:p>
        <w:p w14:paraId="5AD58A01" w14:textId="5F361CC3" w:rsidR="00124344" w:rsidRPr="004229C1" w:rsidRDefault="00124344">
          <w:pPr>
            <w:pStyle w:val="TOC2"/>
            <w:tabs>
              <w:tab w:val="right" w:leader="dot" w:pos="10790"/>
            </w:tabs>
            <w:rPr>
              <w:rFonts w:ascii="Times New Roman" w:hAnsi="Times New Roman" w:cs="Times New Roman"/>
              <w:noProof/>
              <w:lang w:val="uk-UA" w:eastAsia="en-US"/>
            </w:rPr>
          </w:pPr>
          <w:hyperlink w:anchor="_Toc200057402" w:history="1">
            <w:r w:rsidRPr="004229C1">
              <w:rPr>
                <w:rStyle w:val="Hyperlink"/>
                <w:rFonts w:ascii="Times New Roman" w:hAnsi="Times New Roman" w:cs="Times New Roman"/>
                <w:noProof/>
                <w:lang w:val="uk-UA"/>
              </w:rPr>
              <w:t>1. Проміжна інформація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_Toc200057402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95</w:t>
            </w:r>
            <w:r w:rsidRPr="004229C1">
              <w:rPr>
                <w:rFonts w:ascii="Times New Roman" w:hAnsi="Times New Roman" w:cs="Times New Roman"/>
                <w:noProof/>
                <w:webHidden/>
                <w:lang w:val="uk-UA"/>
              </w:rPr>
              <w:fldChar w:fldCharType="end"/>
            </w:r>
          </w:hyperlink>
        </w:p>
        <w:p w14:paraId="4D1C2F9D" w14:textId="530C4ACF" w:rsidR="00124344" w:rsidRPr="004229C1" w:rsidRDefault="00124344">
          <w:pPr>
            <w:pStyle w:val="TOC2"/>
            <w:tabs>
              <w:tab w:val="right" w:leader="dot" w:pos="10790"/>
            </w:tabs>
            <w:rPr>
              <w:rFonts w:ascii="Times New Roman" w:hAnsi="Times New Roman" w:cs="Times New Roman"/>
              <w:noProof/>
              <w:lang w:val="uk-UA" w:eastAsia="en-US"/>
            </w:rPr>
          </w:pPr>
          <w:hyperlink w:anchor="_Toc200057403" w:history="1">
            <w:r w:rsidRPr="004229C1">
              <w:rPr>
                <w:rStyle w:val="Hyperlink"/>
                <w:rFonts w:ascii="Times New Roman" w:hAnsi="Times New Roman" w:cs="Times New Roman"/>
                <w:noProof/>
                <w:lang w:val="uk-UA"/>
              </w:rPr>
              <w:t>2. Особлива інформація</w:t>
            </w:r>
            <w:r w:rsidRPr="004229C1">
              <w:rPr>
                <w:rFonts w:ascii="Times New Roman" w:hAnsi="Times New Roman" w:cs="Times New Roman"/>
                <w:noProof/>
                <w:webHidden/>
                <w:lang w:val="uk-UA"/>
              </w:rPr>
              <w:tab/>
            </w:r>
            <w:r w:rsidRPr="004229C1">
              <w:rPr>
                <w:rFonts w:ascii="Times New Roman" w:hAnsi="Times New Roman" w:cs="Times New Roman"/>
                <w:noProof/>
                <w:webHidden/>
                <w:lang w:val="uk-UA"/>
              </w:rPr>
              <w:fldChar w:fldCharType="begin"/>
            </w:r>
            <w:r w:rsidRPr="004229C1">
              <w:rPr>
                <w:rFonts w:ascii="Times New Roman" w:hAnsi="Times New Roman" w:cs="Times New Roman"/>
                <w:noProof/>
                <w:webHidden/>
                <w:lang w:val="uk-UA"/>
              </w:rPr>
              <w:instrText xml:space="preserve"> PAGEREF _Toc200057403 \h </w:instrText>
            </w:r>
            <w:r w:rsidRPr="004229C1">
              <w:rPr>
                <w:rFonts w:ascii="Times New Roman" w:hAnsi="Times New Roman" w:cs="Times New Roman"/>
                <w:noProof/>
                <w:webHidden/>
                <w:lang w:val="uk-UA"/>
              </w:rPr>
            </w:r>
            <w:r w:rsidRPr="004229C1">
              <w:rPr>
                <w:rFonts w:ascii="Times New Roman" w:hAnsi="Times New Roman" w:cs="Times New Roman"/>
                <w:noProof/>
                <w:webHidden/>
                <w:lang w:val="uk-UA"/>
              </w:rPr>
              <w:fldChar w:fldCharType="separate"/>
            </w:r>
            <w:r w:rsidR="00F803EA">
              <w:rPr>
                <w:rFonts w:ascii="Times New Roman" w:hAnsi="Times New Roman" w:cs="Times New Roman"/>
                <w:noProof/>
                <w:webHidden/>
                <w:lang w:val="uk-UA"/>
              </w:rPr>
              <w:t>96</w:t>
            </w:r>
            <w:r w:rsidRPr="004229C1">
              <w:rPr>
                <w:rFonts w:ascii="Times New Roman" w:hAnsi="Times New Roman" w:cs="Times New Roman"/>
                <w:noProof/>
                <w:webHidden/>
                <w:lang w:val="uk-UA"/>
              </w:rPr>
              <w:fldChar w:fldCharType="end"/>
            </w:r>
          </w:hyperlink>
        </w:p>
        <w:p w14:paraId="59FEEE05" w14:textId="4D5B7F6A" w:rsidR="00394FCC" w:rsidRPr="004229C1" w:rsidRDefault="00394FCC" w:rsidP="00D8764A">
          <w:pPr>
            <w:spacing w:line="240" w:lineRule="auto"/>
            <w:rPr>
              <w:rFonts w:ascii="Times New Roman" w:hAnsi="Times New Roman" w:cs="Times New Roman"/>
              <w:lang w:val="uk-UA"/>
            </w:rPr>
          </w:pPr>
          <w:r w:rsidRPr="004229C1">
            <w:rPr>
              <w:rFonts w:ascii="Times New Roman" w:hAnsi="Times New Roman" w:cs="Times New Roman"/>
              <w:b/>
              <w:bCs/>
              <w:lang w:val="uk-UA"/>
            </w:rPr>
            <w:fldChar w:fldCharType="end"/>
          </w:r>
        </w:p>
      </w:sdtContent>
    </w:sdt>
    <w:p w14:paraId="494854A8"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76E48519"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37D308A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sectPr w:rsidR="007469BF" w:rsidRPr="004229C1">
          <w:pgSz w:w="12240" w:h="15840"/>
          <w:pgMar w:top="570" w:right="720" w:bottom="570" w:left="720" w:header="720" w:footer="720" w:gutter="0"/>
          <w:cols w:space="720"/>
          <w:noEndnote/>
        </w:sectPr>
      </w:pPr>
    </w:p>
    <w:p w14:paraId="35FF5F75" w14:textId="77777777" w:rsidR="007469BF" w:rsidRPr="004229C1" w:rsidRDefault="000B08A7" w:rsidP="00394FCC">
      <w:pPr>
        <w:pStyle w:val="Heading1"/>
        <w:rPr>
          <w:rFonts w:cs="Times New Roman"/>
          <w:lang w:val="uk-UA"/>
        </w:rPr>
      </w:pPr>
      <w:bookmarkStart w:id="0" w:name="_Toc200057382"/>
      <w:r w:rsidRPr="004229C1">
        <w:rPr>
          <w:rFonts w:cs="Times New Roman"/>
          <w:lang w:val="uk-UA"/>
        </w:rPr>
        <w:t>I. Загальна інформація</w:t>
      </w:r>
      <w:bookmarkEnd w:id="0"/>
    </w:p>
    <w:p w14:paraId="20FDEA37" w14:textId="77777777" w:rsidR="007469BF" w:rsidRPr="004229C1" w:rsidRDefault="000B08A7" w:rsidP="00394FCC">
      <w:pPr>
        <w:pStyle w:val="Heading2"/>
        <w:rPr>
          <w:rFonts w:cs="Times New Roman"/>
          <w:lang w:val="uk-UA"/>
        </w:rPr>
      </w:pPr>
      <w:bookmarkStart w:id="1" w:name="_Toc200057383"/>
      <w:r w:rsidRPr="004229C1">
        <w:rPr>
          <w:rFonts w:cs="Times New Roman"/>
          <w:lang w:val="uk-UA"/>
        </w:rPr>
        <w:t>1. Ідентифікаційні дані та загальна інформація</w:t>
      </w:r>
      <w:bookmarkEnd w:id="1"/>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7469BF" w:rsidRPr="004229C1" w14:paraId="7CB9A286" w14:textId="77777777">
        <w:trPr>
          <w:trHeight w:val="300"/>
        </w:trPr>
        <w:tc>
          <w:tcPr>
            <w:tcW w:w="500" w:type="dxa"/>
            <w:tcBorders>
              <w:top w:val="single" w:sz="6" w:space="0" w:color="auto"/>
              <w:bottom w:val="single" w:sz="6" w:space="0" w:color="auto"/>
              <w:right w:val="single" w:sz="6" w:space="0" w:color="auto"/>
            </w:tcBorders>
            <w:vAlign w:val="center"/>
          </w:tcPr>
          <w:p w14:paraId="480F0A3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p>
        </w:tc>
        <w:tc>
          <w:tcPr>
            <w:tcW w:w="3500" w:type="dxa"/>
            <w:tcBorders>
              <w:top w:val="single" w:sz="6" w:space="0" w:color="auto"/>
              <w:left w:val="single" w:sz="6" w:space="0" w:color="auto"/>
              <w:bottom w:val="single" w:sz="6" w:space="0" w:color="auto"/>
              <w:right w:val="single" w:sz="6" w:space="0" w:color="auto"/>
            </w:tcBorders>
            <w:vAlign w:val="center"/>
          </w:tcPr>
          <w:p w14:paraId="040879D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Повне найменування</w:t>
            </w:r>
          </w:p>
        </w:tc>
        <w:tc>
          <w:tcPr>
            <w:tcW w:w="6465" w:type="dxa"/>
            <w:tcBorders>
              <w:top w:val="single" w:sz="6" w:space="0" w:color="auto"/>
              <w:left w:val="single" w:sz="6" w:space="0" w:color="auto"/>
              <w:bottom w:val="single" w:sz="6" w:space="0" w:color="auto"/>
            </w:tcBorders>
            <w:vAlign w:val="center"/>
          </w:tcPr>
          <w:p w14:paraId="5437D37F" w14:textId="44F6590E" w:rsidR="007469BF" w:rsidRPr="004229C1" w:rsidRDefault="00D44E4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Акціонерне товариство «ПРАВЕКС БАНК»</w:t>
            </w:r>
          </w:p>
        </w:tc>
      </w:tr>
      <w:tr w:rsidR="007469BF" w:rsidRPr="004229C1" w14:paraId="68B1E363" w14:textId="77777777">
        <w:trPr>
          <w:trHeight w:val="300"/>
        </w:trPr>
        <w:tc>
          <w:tcPr>
            <w:tcW w:w="500" w:type="dxa"/>
            <w:tcBorders>
              <w:top w:val="single" w:sz="6" w:space="0" w:color="auto"/>
              <w:bottom w:val="single" w:sz="6" w:space="0" w:color="auto"/>
              <w:right w:val="single" w:sz="6" w:space="0" w:color="auto"/>
            </w:tcBorders>
            <w:vAlign w:val="center"/>
          </w:tcPr>
          <w:p w14:paraId="789CE46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2</w:t>
            </w:r>
          </w:p>
        </w:tc>
        <w:tc>
          <w:tcPr>
            <w:tcW w:w="3500" w:type="dxa"/>
            <w:tcBorders>
              <w:top w:val="single" w:sz="6" w:space="0" w:color="auto"/>
              <w:left w:val="single" w:sz="6" w:space="0" w:color="auto"/>
              <w:bottom w:val="single" w:sz="6" w:space="0" w:color="auto"/>
              <w:right w:val="single" w:sz="6" w:space="0" w:color="auto"/>
            </w:tcBorders>
            <w:vAlign w:val="center"/>
          </w:tcPr>
          <w:p w14:paraId="35F2B7F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Скорочене найменування</w:t>
            </w:r>
          </w:p>
        </w:tc>
        <w:tc>
          <w:tcPr>
            <w:tcW w:w="6465" w:type="dxa"/>
            <w:tcBorders>
              <w:top w:val="single" w:sz="6" w:space="0" w:color="auto"/>
              <w:left w:val="single" w:sz="6" w:space="0" w:color="auto"/>
              <w:bottom w:val="single" w:sz="6" w:space="0" w:color="auto"/>
            </w:tcBorders>
            <w:vAlign w:val="center"/>
          </w:tcPr>
          <w:p w14:paraId="3B87ED9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АТ "ПРАВЕКС БАНК"</w:t>
            </w:r>
          </w:p>
        </w:tc>
      </w:tr>
      <w:tr w:rsidR="007469BF" w:rsidRPr="004229C1" w14:paraId="066FF5DA" w14:textId="77777777">
        <w:trPr>
          <w:trHeight w:val="300"/>
        </w:trPr>
        <w:tc>
          <w:tcPr>
            <w:tcW w:w="500" w:type="dxa"/>
            <w:tcBorders>
              <w:top w:val="single" w:sz="6" w:space="0" w:color="auto"/>
              <w:bottom w:val="single" w:sz="6" w:space="0" w:color="auto"/>
              <w:right w:val="single" w:sz="6" w:space="0" w:color="auto"/>
            </w:tcBorders>
            <w:vAlign w:val="center"/>
          </w:tcPr>
          <w:p w14:paraId="0B6D35A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3</w:t>
            </w:r>
          </w:p>
        </w:tc>
        <w:tc>
          <w:tcPr>
            <w:tcW w:w="3500" w:type="dxa"/>
            <w:tcBorders>
              <w:top w:val="single" w:sz="6" w:space="0" w:color="auto"/>
              <w:left w:val="single" w:sz="6" w:space="0" w:color="auto"/>
              <w:bottom w:val="single" w:sz="6" w:space="0" w:color="auto"/>
              <w:right w:val="single" w:sz="6" w:space="0" w:color="auto"/>
            </w:tcBorders>
            <w:vAlign w:val="center"/>
          </w:tcPr>
          <w:p w14:paraId="77AFA4E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85600F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14360920</w:t>
            </w:r>
          </w:p>
        </w:tc>
      </w:tr>
      <w:tr w:rsidR="007469BF" w:rsidRPr="004229C1" w14:paraId="729E8472" w14:textId="77777777">
        <w:trPr>
          <w:trHeight w:val="300"/>
        </w:trPr>
        <w:tc>
          <w:tcPr>
            <w:tcW w:w="500" w:type="dxa"/>
            <w:tcBorders>
              <w:top w:val="single" w:sz="6" w:space="0" w:color="auto"/>
              <w:bottom w:val="single" w:sz="6" w:space="0" w:color="auto"/>
              <w:right w:val="single" w:sz="6" w:space="0" w:color="auto"/>
            </w:tcBorders>
            <w:vAlign w:val="center"/>
          </w:tcPr>
          <w:p w14:paraId="103751D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4</w:t>
            </w:r>
          </w:p>
        </w:tc>
        <w:tc>
          <w:tcPr>
            <w:tcW w:w="3500" w:type="dxa"/>
            <w:tcBorders>
              <w:top w:val="single" w:sz="6" w:space="0" w:color="auto"/>
              <w:left w:val="single" w:sz="6" w:space="0" w:color="auto"/>
              <w:bottom w:val="single" w:sz="6" w:space="0" w:color="auto"/>
              <w:right w:val="single" w:sz="6" w:space="0" w:color="auto"/>
            </w:tcBorders>
            <w:vAlign w:val="center"/>
          </w:tcPr>
          <w:p w14:paraId="354A531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7F622125" w14:textId="0A74A1A7" w:rsidR="007469BF" w:rsidRPr="004229C1" w:rsidRDefault="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29.12.1992</w:t>
            </w:r>
          </w:p>
        </w:tc>
      </w:tr>
      <w:tr w:rsidR="007469BF" w:rsidRPr="004229C1" w14:paraId="5A3FDDFC" w14:textId="77777777">
        <w:trPr>
          <w:trHeight w:val="300"/>
        </w:trPr>
        <w:tc>
          <w:tcPr>
            <w:tcW w:w="500" w:type="dxa"/>
            <w:tcBorders>
              <w:top w:val="single" w:sz="6" w:space="0" w:color="auto"/>
              <w:bottom w:val="single" w:sz="6" w:space="0" w:color="auto"/>
              <w:right w:val="single" w:sz="6" w:space="0" w:color="auto"/>
            </w:tcBorders>
            <w:vAlign w:val="center"/>
          </w:tcPr>
          <w:p w14:paraId="464BFAE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5</w:t>
            </w:r>
          </w:p>
        </w:tc>
        <w:tc>
          <w:tcPr>
            <w:tcW w:w="3500" w:type="dxa"/>
            <w:tcBorders>
              <w:top w:val="single" w:sz="6" w:space="0" w:color="auto"/>
              <w:left w:val="single" w:sz="6" w:space="0" w:color="auto"/>
              <w:bottom w:val="single" w:sz="6" w:space="0" w:color="auto"/>
              <w:right w:val="single" w:sz="6" w:space="0" w:color="auto"/>
            </w:tcBorders>
            <w:vAlign w:val="center"/>
          </w:tcPr>
          <w:p w14:paraId="6BE65D7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Місцезнаходження</w:t>
            </w:r>
          </w:p>
        </w:tc>
        <w:tc>
          <w:tcPr>
            <w:tcW w:w="6465" w:type="dxa"/>
            <w:tcBorders>
              <w:top w:val="single" w:sz="6" w:space="0" w:color="auto"/>
              <w:left w:val="single" w:sz="6" w:space="0" w:color="auto"/>
              <w:bottom w:val="single" w:sz="6" w:space="0" w:color="auto"/>
            </w:tcBorders>
            <w:vAlign w:val="center"/>
          </w:tcPr>
          <w:p w14:paraId="7F9D8D3A" w14:textId="3ED3A24F"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01021, Україна, м.</w:t>
            </w:r>
            <w:r w:rsidR="004A3B2B" w:rsidRPr="004229C1">
              <w:rPr>
                <w:rFonts w:ascii="Times New Roman" w:hAnsi="Times New Roman" w:cs="Times New Roman"/>
                <w:kern w:val="0"/>
                <w:lang w:val="uk-UA"/>
              </w:rPr>
              <w:t xml:space="preserve"> </w:t>
            </w:r>
            <w:r w:rsidRPr="004229C1">
              <w:rPr>
                <w:rFonts w:ascii="Times New Roman" w:hAnsi="Times New Roman" w:cs="Times New Roman"/>
                <w:kern w:val="0"/>
                <w:lang w:val="uk-UA"/>
              </w:rPr>
              <w:t xml:space="preserve">Київ, Печерський р-н, Київ, Кловський </w:t>
            </w:r>
            <w:proofErr w:type="spellStart"/>
            <w:r w:rsidRPr="004229C1">
              <w:rPr>
                <w:rFonts w:ascii="Times New Roman" w:hAnsi="Times New Roman" w:cs="Times New Roman"/>
                <w:kern w:val="0"/>
                <w:lang w:val="uk-UA"/>
              </w:rPr>
              <w:t>узвiз</w:t>
            </w:r>
            <w:proofErr w:type="spellEnd"/>
            <w:r w:rsidRPr="004229C1">
              <w:rPr>
                <w:rFonts w:ascii="Times New Roman" w:hAnsi="Times New Roman" w:cs="Times New Roman"/>
                <w:kern w:val="0"/>
                <w:lang w:val="uk-UA"/>
              </w:rPr>
              <w:t xml:space="preserve">, 9/2. </w:t>
            </w:r>
          </w:p>
        </w:tc>
      </w:tr>
      <w:tr w:rsidR="007469BF" w:rsidRPr="004229C1" w14:paraId="45C71389" w14:textId="77777777">
        <w:trPr>
          <w:trHeight w:val="300"/>
        </w:trPr>
        <w:tc>
          <w:tcPr>
            <w:tcW w:w="500" w:type="dxa"/>
            <w:tcBorders>
              <w:top w:val="single" w:sz="6" w:space="0" w:color="auto"/>
              <w:bottom w:val="single" w:sz="6" w:space="0" w:color="auto"/>
              <w:right w:val="single" w:sz="6" w:space="0" w:color="auto"/>
            </w:tcBorders>
            <w:vAlign w:val="center"/>
          </w:tcPr>
          <w:p w14:paraId="5F33E66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6</w:t>
            </w:r>
          </w:p>
        </w:tc>
        <w:tc>
          <w:tcPr>
            <w:tcW w:w="3500" w:type="dxa"/>
            <w:tcBorders>
              <w:top w:val="single" w:sz="6" w:space="0" w:color="auto"/>
              <w:left w:val="single" w:sz="6" w:space="0" w:color="auto"/>
              <w:bottom w:val="single" w:sz="6" w:space="0" w:color="auto"/>
              <w:right w:val="single" w:sz="6" w:space="0" w:color="auto"/>
            </w:tcBorders>
            <w:vAlign w:val="center"/>
          </w:tcPr>
          <w:p w14:paraId="651A35A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Адреса для листування</w:t>
            </w:r>
          </w:p>
        </w:tc>
        <w:tc>
          <w:tcPr>
            <w:tcW w:w="6465" w:type="dxa"/>
            <w:tcBorders>
              <w:top w:val="single" w:sz="6" w:space="0" w:color="auto"/>
              <w:left w:val="single" w:sz="6" w:space="0" w:color="auto"/>
              <w:bottom w:val="single" w:sz="6" w:space="0" w:color="auto"/>
            </w:tcBorders>
            <w:vAlign w:val="center"/>
          </w:tcPr>
          <w:p w14:paraId="3988879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01021, Україна, Печерський р-н, Київ, Кловський </w:t>
            </w:r>
            <w:proofErr w:type="spellStart"/>
            <w:r w:rsidRPr="004229C1">
              <w:rPr>
                <w:rFonts w:ascii="Times New Roman" w:hAnsi="Times New Roman" w:cs="Times New Roman"/>
                <w:kern w:val="0"/>
                <w:lang w:val="uk-UA"/>
              </w:rPr>
              <w:t>узвiз</w:t>
            </w:r>
            <w:proofErr w:type="spellEnd"/>
            <w:r w:rsidRPr="004229C1">
              <w:rPr>
                <w:rFonts w:ascii="Times New Roman" w:hAnsi="Times New Roman" w:cs="Times New Roman"/>
                <w:kern w:val="0"/>
                <w:lang w:val="uk-UA"/>
              </w:rPr>
              <w:t>, 9/2</w:t>
            </w:r>
          </w:p>
        </w:tc>
      </w:tr>
      <w:tr w:rsidR="007469BF" w:rsidRPr="004229C1" w14:paraId="2F34FCE7" w14:textId="77777777">
        <w:trPr>
          <w:trHeight w:val="300"/>
        </w:trPr>
        <w:tc>
          <w:tcPr>
            <w:tcW w:w="500" w:type="dxa"/>
            <w:tcBorders>
              <w:top w:val="single" w:sz="6" w:space="0" w:color="auto"/>
              <w:bottom w:val="single" w:sz="6" w:space="0" w:color="auto"/>
              <w:right w:val="single" w:sz="6" w:space="0" w:color="auto"/>
            </w:tcBorders>
            <w:vAlign w:val="center"/>
          </w:tcPr>
          <w:p w14:paraId="01453A8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7</w:t>
            </w:r>
          </w:p>
        </w:tc>
        <w:tc>
          <w:tcPr>
            <w:tcW w:w="3500" w:type="dxa"/>
            <w:tcBorders>
              <w:top w:val="single" w:sz="6" w:space="0" w:color="auto"/>
              <w:left w:val="single" w:sz="6" w:space="0" w:color="auto"/>
              <w:bottom w:val="single" w:sz="6" w:space="0" w:color="auto"/>
              <w:right w:val="single" w:sz="6" w:space="0" w:color="auto"/>
            </w:tcBorders>
            <w:vAlign w:val="center"/>
          </w:tcPr>
          <w:p w14:paraId="57E2F2A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3883F7E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V</w:t>
            </w:r>
            <w:r w:rsidRPr="004229C1">
              <w:rPr>
                <w:rFonts w:ascii="Times New Roman" w:hAnsi="Times New Roman" w:cs="Times New Roman"/>
                <w:kern w:val="0"/>
                <w:lang w:val="uk-UA"/>
              </w:rPr>
              <w:tab/>
              <w:t>Емітент</w:t>
            </w:r>
          </w:p>
          <w:p w14:paraId="39CAABF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Особа, яка надає забезпечення</w:t>
            </w:r>
          </w:p>
        </w:tc>
      </w:tr>
      <w:tr w:rsidR="007469BF" w:rsidRPr="004229C1" w14:paraId="79C01719" w14:textId="77777777">
        <w:trPr>
          <w:trHeight w:val="300"/>
        </w:trPr>
        <w:tc>
          <w:tcPr>
            <w:tcW w:w="500" w:type="dxa"/>
            <w:tcBorders>
              <w:top w:val="single" w:sz="6" w:space="0" w:color="auto"/>
              <w:bottom w:val="single" w:sz="6" w:space="0" w:color="auto"/>
              <w:right w:val="single" w:sz="6" w:space="0" w:color="auto"/>
            </w:tcBorders>
            <w:vAlign w:val="center"/>
          </w:tcPr>
          <w:p w14:paraId="1ED6E44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8</w:t>
            </w:r>
          </w:p>
        </w:tc>
        <w:tc>
          <w:tcPr>
            <w:tcW w:w="3500" w:type="dxa"/>
            <w:tcBorders>
              <w:top w:val="single" w:sz="6" w:space="0" w:color="auto"/>
              <w:left w:val="single" w:sz="6" w:space="0" w:color="auto"/>
              <w:bottom w:val="single" w:sz="6" w:space="0" w:color="auto"/>
              <w:right w:val="single" w:sz="6" w:space="0" w:color="auto"/>
            </w:tcBorders>
            <w:vAlign w:val="center"/>
          </w:tcPr>
          <w:p w14:paraId="3500B17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76A5001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V</w:t>
            </w:r>
            <w:r w:rsidRPr="004229C1">
              <w:rPr>
                <w:rFonts w:ascii="Times New Roman" w:hAnsi="Times New Roman" w:cs="Times New Roman"/>
                <w:kern w:val="0"/>
                <w:lang w:val="uk-UA"/>
              </w:rPr>
              <w:tab/>
              <w:t>Так</w:t>
            </w:r>
          </w:p>
          <w:p w14:paraId="3302493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Ні</w:t>
            </w:r>
          </w:p>
        </w:tc>
      </w:tr>
      <w:tr w:rsidR="007469BF" w:rsidRPr="004229C1" w14:paraId="1E662119" w14:textId="77777777">
        <w:trPr>
          <w:trHeight w:val="300"/>
        </w:trPr>
        <w:tc>
          <w:tcPr>
            <w:tcW w:w="500" w:type="dxa"/>
            <w:tcBorders>
              <w:top w:val="single" w:sz="6" w:space="0" w:color="auto"/>
              <w:bottom w:val="single" w:sz="6" w:space="0" w:color="auto"/>
              <w:right w:val="single" w:sz="6" w:space="0" w:color="auto"/>
            </w:tcBorders>
            <w:vAlign w:val="center"/>
          </w:tcPr>
          <w:p w14:paraId="594322E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9</w:t>
            </w:r>
          </w:p>
        </w:tc>
        <w:tc>
          <w:tcPr>
            <w:tcW w:w="3500" w:type="dxa"/>
            <w:tcBorders>
              <w:top w:val="single" w:sz="6" w:space="0" w:color="auto"/>
              <w:left w:val="single" w:sz="6" w:space="0" w:color="auto"/>
              <w:bottom w:val="single" w:sz="6" w:space="0" w:color="auto"/>
              <w:right w:val="single" w:sz="6" w:space="0" w:color="auto"/>
            </w:tcBorders>
            <w:vAlign w:val="center"/>
          </w:tcPr>
          <w:p w14:paraId="7F9EC57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Категорія підприємства</w:t>
            </w:r>
          </w:p>
        </w:tc>
        <w:tc>
          <w:tcPr>
            <w:tcW w:w="6465" w:type="dxa"/>
            <w:tcBorders>
              <w:top w:val="single" w:sz="6" w:space="0" w:color="auto"/>
              <w:left w:val="single" w:sz="6" w:space="0" w:color="auto"/>
              <w:bottom w:val="single" w:sz="6" w:space="0" w:color="auto"/>
            </w:tcBorders>
            <w:vAlign w:val="center"/>
          </w:tcPr>
          <w:p w14:paraId="090A665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V</w:t>
            </w:r>
            <w:r w:rsidRPr="004229C1">
              <w:rPr>
                <w:rFonts w:ascii="Times New Roman" w:hAnsi="Times New Roman" w:cs="Times New Roman"/>
                <w:kern w:val="0"/>
                <w:lang w:val="uk-UA"/>
              </w:rPr>
              <w:tab/>
              <w:t>Велике</w:t>
            </w:r>
          </w:p>
          <w:p w14:paraId="6F05A24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Середнє</w:t>
            </w:r>
          </w:p>
          <w:p w14:paraId="462F42E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Мале</w:t>
            </w:r>
          </w:p>
          <w:p w14:paraId="1E25778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Мікро</w:t>
            </w:r>
          </w:p>
        </w:tc>
      </w:tr>
      <w:tr w:rsidR="007469BF" w:rsidRPr="004229C1" w14:paraId="0028D219" w14:textId="77777777">
        <w:trPr>
          <w:trHeight w:val="300"/>
        </w:trPr>
        <w:tc>
          <w:tcPr>
            <w:tcW w:w="500" w:type="dxa"/>
            <w:tcBorders>
              <w:top w:val="single" w:sz="6" w:space="0" w:color="auto"/>
              <w:bottom w:val="single" w:sz="6" w:space="0" w:color="auto"/>
              <w:right w:val="single" w:sz="6" w:space="0" w:color="auto"/>
            </w:tcBorders>
            <w:vAlign w:val="center"/>
          </w:tcPr>
          <w:p w14:paraId="4F108D6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90C9F2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044257A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bank@pravex.ua</w:t>
            </w:r>
          </w:p>
        </w:tc>
      </w:tr>
      <w:tr w:rsidR="007469BF" w:rsidRPr="004229C1" w14:paraId="4BBD33B3" w14:textId="77777777">
        <w:trPr>
          <w:trHeight w:val="300"/>
        </w:trPr>
        <w:tc>
          <w:tcPr>
            <w:tcW w:w="500" w:type="dxa"/>
            <w:tcBorders>
              <w:top w:val="single" w:sz="6" w:space="0" w:color="auto"/>
              <w:bottom w:val="single" w:sz="6" w:space="0" w:color="auto"/>
              <w:right w:val="single" w:sz="6" w:space="0" w:color="auto"/>
            </w:tcBorders>
            <w:vAlign w:val="center"/>
          </w:tcPr>
          <w:p w14:paraId="3910C04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11</w:t>
            </w:r>
          </w:p>
        </w:tc>
        <w:tc>
          <w:tcPr>
            <w:tcW w:w="3500" w:type="dxa"/>
            <w:tcBorders>
              <w:top w:val="single" w:sz="6" w:space="0" w:color="auto"/>
              <w:left w:val="single" w:sz="6" w:space="0" w:color="auto"/>
              <w:bottom w:val="single" w:sz="6" w:space="0" w:color="auto"/>
              <w:right w:val="single" w:sz="6" w:space="0" w:color="auto"/>
            </w:tcBorders>
            <w:vAlign w:val="center"/>
          </w:tcPr>
          <w:p w14:paraId="52AE452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Адреса </w:t>
            </w:r>
            <w:proofErr w:type="spellStart"/>
            <w:r w:rsidRPr="004229C1">
              <w:rPr>
                <w:rFonts w:ascii="Times New Roman" w:hAnsi="Times New Roman" w:cs="Times New Roman"/>
                <w:kern w:val="0"/>
                <w:lang w:val="uk-UA"/>
              </w:rPr>
              <w:t>вебсайту</w:t>
            </w:r>
            <w:proofErr w:type="spellEnd"/>
          </w:p>
        </w:tc>
        <w:tc>
          <w:tcPr>
            <w:tcW w:w="6465" w:type="dxa"/>
            <w:tcBorders>
              <w:top w:val="single" w:sz="6" w:space="0" w:color="auto"/>
              <w:left w:val="single" w:sz="6" w:space="0" w:color="auto"/>
              <w:bottom w:val="single" w:sz="6" w:space="0" w:color="auto"/>
            </w:tcBorders>
            <w:vAlign w:val="center"/>
          </w:tcPr>
          <w:p w14:paraId="029FE913" w14:textId="7D25FE9B"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https://www.pravex.com.ua</w:t>
            </w:r>
          </w:p>
        </w:tc>
      </w:tr>
      <w:tr w:rsidR="007469BF" w:rsidRPr="004229C1" w14:paraId="1532B6C4" w14:textId="77777777">
        <w:trPr>
          <w:trHeight w:val="300"/>
        </w:trPr>
        <w:tc>
          <w:tcPr>
            <w:tcW w:w="500" w:type="dxa"/>
            <w:tcBorders>
              <w:top w:val="single" w:sz="6" w:space="0" w:color="auto"/>
              <w:bottom w:val="single" w:sz="6" w:space="0" w:color="auto"/>
              <w:right w:val="single" w:sz="6" w:space="0" w:color="auto"/>
            </w:tcBorders>
            <w:vAlign w:val="center"/>
          </w:tcPr>
          <w:p w14:paraId="347543E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12</w:t>
            </w:r>
          </w:p>
        </w:tc>
        <w:tc>
          <w:tcPr>
            <w:tcW w:w="3500" w:type="dxa"/>
            <w:tcBorders>
              <w:top w:val="single" w:sz="6" w:space="0" w:color="auto"/>
              <w:left w:val="single" w:sz="6" w:space="0" w:color="auto"/>
              <w:bottom w:val="single" w:sz="6" w:space="0" w:color="auto"/>
              <w:right w:val="single" w:sz="6" w:space="0" w:color="auto"/>
            </w:tcBorders>
            <w:vAlign w:val="center"/>
          </w:tcPr>
          <w:p w14:paraId="11BAD8A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Номер телефону</w:t>
            </w:r>
          </w:p>
        </w:tc>
        <w:tc>
          <w:tcPr>
            <w:tcW w:w="6465" w:type="dxa"/>
            <w:tcBorders>
              <w:top w:val="single" w:sz="6" w:space="0" w:color="auto"/>
              <w:left w:val="single" w:sz="6" w:space="0" w:color="auto"/>
              <w:bottom w:val="single" w:sz="6" w:space="0" w:color="auto"/>
            </w:tcBorders>
            <w:vAlign w:val="center"/>
          </w:tcPr>
          <w:p w14:paraId="4816291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044-521-02-59, 044-521-04-80</w:t>
            </w:r>
          </w:p>
        </w:tc>
      </w:tr>
      <w:tr w:rsidR="007469BF" w:rsidRPr="004229C1" w14:paraId="288BED95" w14:textId="77777777">
        <w:trPr>
          <w:trHeight w:val="300"/>
        </w:trPr>
        <w:tc>
          <w:tcPr>
            <w:tcW w:w="500" w:type="dxa"/>
            <w:tcBorders>
              <w:top w:val="single" w:sz="6" w:space="0" w:color="auto"/>
              <w:bottom w:val="single" w:sz="6" w:space="0" w:color="auto"/>
              <w:right w:val="single" w:sz="6" w:space="0" w:color="auto"/>
            </w:tcBorders>
            <w:vAlign w:val="center"/>
          </w:tcPr>
          <w:p w14:paraId="559A302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13</w:t>
            </w:r>
          </w:p>
        </w:tc>
        <w:tc>
          <w:tcPr>
            <w:tcW w:w="3500" w:type="dxa"/>
            <w:tcBorders>
              <w:top w:val="single" w:sz="6" w:space="0" w:color="auto"/>
              <w:left w:val="single" w:sz="6" w:space="0" w:color="auto"/>
              <w:bottom w:val="single" w:sz="6" w:space="0" w:color="auto"/>
              <w:right w:val="single" w:sz="6" w:space="0" w:color="auto"/>
            </w:tcBorders>
            <w:vAlign w:val="center"/>
          </w:tcPr>
          <w:p w14:paraId="173635C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Статутний капітал, грн</w:t>
            </w:r>
          </w:p>
        </w:tc>
        <w:tc>
          <w:tcPr>
            <w:tcW w:w="6465" w:type="dxa"/>
            <w:tcBorders>
              <w:top w:val="single" w:sz="6" w:space="0" w:color="auto"/>
              <w:left w:val="single" w:sz="6" w:space="0" w:color="auto"/>
              <w:bottom w:val="single" w:sz="6" w:space="0" w:color="auto"/>
            </w:tcBorders>
            <w:vAlign w:val="center"/>
          </w:tcPr>
          <w:p w14:paraId="15BA5642" w14:textId="4E19EF33" w:rsidR="007469BF" w:rsidRPr="004229C1" w:rsidRDefault="007E7E5D">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1254155348,64</w:t>
            </w:r>
          </w:p>
        </w:tc>
      </w:tr>
      <w:tr w:rsidR="007469BF" w:rsidRPr="004229C1" w14:paraId="1C2E2338" w14:textId="77777777">
        <w:trPr>
          <w:trHeight w:val="300"/>
        </w:trPr>
        <w:tc>
          <w:tcPr>
            <w:tcW w:w="500" w:type="dxa"/>
            <w:tcBorders>
              <w:top w:val="single" w:sz="6" w:space="0" w:color="auto"/>
              <w:bottom w:val="single" w:sz="6" w:space="0" w:color="auto"/>
              <w:right w:val="single" w:sz="6" w:space="0" w:color="auto"/>
            </w:tcBorders>
            <w:vAlign w:val="center"/>
          </w:tcPr>
          <w:p w14:paraId="1B262B2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14</w:t>
            </w:r>
          </w:p>
        </w:tc>
        <w:tc>
          <w:tcPr>
            <w:tcW w:w="3500" w:type="dxa"/>
            <w:tcBorders>
              <w:top w:val="single" w:sz="6" w:space="0" w:color="auto"/>
              <w:left w:val="single" w:sz="6" w:space="0" w:color="auto"/>
              <w:bottom w:val="single" w:sz="6" w:space="0" w:color="auto"/>
              <w:right w:val="single" w:sz="6" w:space="0" w:color="auto"/>
            </w:tcBorders>
            <w:vAlign w:val="center"/>
          </w:tcPr>
          <w:p w14:paraId="2252F9B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6443E82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0</w:t>
            </w:r>
          </w:p>
        </w:tc>
      </w:tr>
      <w:tr w:rsidR="007469BF" w:rsidRPr="004229C1" w14:paraId="5042ED47" w14:textId="77777777">
        <w:trPr>
          <w:trHeight w:val="300"/>
        </w:trPr>
        <w:tc>
          <w:tcPr>
            <w:tcW w:w="500" w:type="dxa"/>
            <w:tcBorders>
              <w:top w:val="single" w:sz="6" w:space="0" w:color="auto"/>
              <w:bottom w:val="single" w:sz="6" w:space="0" w:color="auto"/>
              <w:right w:val="single" w:sz="6" w:space="0" w:color="auto"/>
            </w:tcBorders>
            <w:vAlign w:val="center"/>
          </w:tcPr>
          <w:p w14:paraId="3109E94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15</w:t>
            </w:r>
          </w:p>
        </w:tc>
        <w:tc>
          <w:tcPr>
            <w:tcW w:w="3500" w:type="dxa"/>
            <w:tcBorders>
              <w:top w:val="single" w:sz="6" w:space="0" w:color="auto"/>
              <w:left w:val="single" w:sz="6" w:space="0" w:color="auto"/>
              <w:bottom w:val="single" w:sz="6" w:space="0" w:color="auto"/>
              <w:right w:val="single" w:sz="6" w:space="0" w:color="auto"/>
            </w:tcBorders>
            <w:vAlign w:val="center"/>
          </w:tcPr>
          <w:p w14:paraId="6446D24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0BFEFD2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0</w:t>
            </w:r>
          </w:p>
        </w:tc>
      </w:tr>
      <w:tr w:rsidR="007469BF" w:rsidRPr="004229C1" w14:paraId="722E647C" w14:textId="77777777">
        <w:trPr>
          <w:trHeight w:val="300"/>
        </w:trPr>
        <w:tc>
          <w:tcPr>
            <w:tcW w:w="500" w:type="dxa"/>
            <w:tcBorders>
              <w:top w:val="single" w:sz="6" w:space="0" w:color="auto"/>
              <w:bottom w:val="single" w:sz="6" w:space="0" w:color="auto"/>
              <w:right w:val="single" w:sz="6" w:space="0" w:color="auto"/>
            </w:tcBorders>
            <w:vAlign w:val="center"/>
          </w:tcPr>
          <w:p w14:paraId="32959F6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16</w:t>
            </w:r>
          </w:p>
        </w:tc>
        <w:tc>
          <w:tcPr>
            <w:tcW w:w="3500" w:type="dxa"/>
            <w:tcBorders>
              <w:top w:val="single" w:sz="6" w:space="0" w:color="auto"/>
              <w:left w:val="single" w:sz="6" w:space="0" w:color="auto"/>
              <w:bottom w:val="single" w:sz="6" w:space="0" w:color="auto"/>
              <w:right w:val="single" w:sz="6" w:space="0" w:color="auto"/>
            </w:tcBorders>
            <w:vAlign w:val="center"/>
          </w:tcPr>
          <w:p w14:paraId="3110E76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7089D146" w14:textId="065C9A0D"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6</w:t>
            </w:r>
            <w:r w:rsidR="00B7794C" w:rsidRPr="004229C1">
              <w:rPr>
                <w:rFonts w:ascii="Times New Roman" w:hAnsi="Times New Roman" w:cs="Times New Roman"/>
                <w:kern w:val="0"/>
                <w:lang w:val="uk-UA"/>
              </w:rPr>
              <w:t>24</w:t>
            </w:r>
          </w:p>
        </w:tc>
      </w:tr>
      <w:tr w:rsidR="007469BF" w:rsidRPr="004229C1" w14:paraId="584F98F1" w14:textId="77777777">
        <w:trPr>
          <w:trHeight w:val="300"/>
        </w:trPr>
        <w:tc>
          <w:tcPr>
            <w:tcW w:w="500" w:type="dxa"/>
            <w:tcBorders>
              <w:top w:val="single" w:sz="6" w:space="0" w:color="auto"/>
              <w:bottom w:val="single" w:sz="6" w:space="0" w:color="auto"/>
              <w:right w:val="single" w:sz="6" w:space="0" w:color="auto"/>
            </w:tcBorders>
            <w:vAlign w:val="center"/>
          </w:tcPr>
          <w:p w14:paraId="0C31C81E" w14:textId="118A9555"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r w:rsidR="007E7E5D" w:rsidRPr="004229C1">
              <w:rPr>
                <w:rFonts w:ascii="Times New Roman" w:hAnsi="Times New Roman" w:cs="Times New Roman"/>
                <w:kern w:val="0"/>
                <w:lang w:val="uk-UA"/>
              </w:rPr>
              <w:t>7</w:t>
            </w:r>
          </w:p>
        </w:tc>
        <w:tc>
          <w:tcPr>
            <w:tcW w:w="3500" w:type="dxa"/>
            <w:tcBorders>
              <w:top w:val="single" w:sz="6" w:space="0" w:color="auto"/>
              <w:left w:val="single" w:sz="6" w:space="0" w:color="auto"/>
              <w:bottom w:val="single" w:sz="6" w:space="0" w:color="auto"/>
              <w:right w:val="single" w:sz="6" w:space="0" w:color="auto"/>
            </w:tcBorders>
            <w:vAlign w:val="center"/>
          </w:tcPr>
          <w:p w14:paraId="6CD6EFE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0CBD616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64.19 - </w:t>
            </w:r>
            <w:proofErr w:type="spellStart"/>
            <w:r w:rsidRPr="004229C1">
              <w:rPr>
                <w:rFonts w:ascii="Times New Roman" w:hAnsi="Times New Roman" w:cs="Times New Roman"/>
                <w:kern w:val="0"/>
                <w:lang w:val="uk-UA"/>
              </w:rPr>
              <w:t>Iншi</w:t>
            </w:r>
            <w:proofErr w:type="spellEnd"/>
            <w:r w:rsidRPr="004229C1">
              <w:rPr>
                <w:rFonts w:ascii="Times New Roman" w:hAnsi="Times New Roman" w:cs="Times New Roman"/>
                <w:kern w:val="0"/>
                <w:lang w:val="uk-UA"/>
              </w:rPr>
              <w:t xml:space="preserve"> види грошового посередництва (основний)</w:t>
            </w:r>
          </w:p>
        </w:tc>
      </w:tr>
      <w:tr w:rsidR="007469BF" w:rsidRPr="004229C1" w14:paraId="681AC433" w14:textId="77777777">
        <w:trPr>
          <w:trHeight w:val="300"/>
        </w:trPr>
        <w:tc>
          <w:tcPr>
            <w:tcW w:w="500" w:type="dxa"/>
            <w:tcBorders>
              <w:top w:val="single" w:sz="6" w:space="0" w:color="auto"/>
              <w:bottom w:val="single" w:sz="6" w:space="0" w:color="auto"/>
              <w:right w:val="single" w:sz="6" w:space="0" w:color="auto"/>
            </w:tcBorders>
            <w:vAlign w:val="center"/>
          </w:tcPr>
          <w:p w14:paraId="00AB498B" w14:textId="7AD3A136"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r w:rsidR="007E7E5D" w:rsidRPr="004229C1">
              <w:rPr>
                <w:rFonts w:ascii="Times New Roman" w:hAnsi="Times New Roman" w:cs="Times New Roman"/>
                <w:kern w:val="0"/>
                <w:lang w:val="uk-UA"/>
              </w:rPr>
              <w:t>8</w:t>
            </w:r>
          </w:p>
        </w:tc>
        <w:tc>
          <w:tcPr>
            <w:tcW w:w="3500" w:type="dxa"/>
            <w:tcBorders>
              <w:top w:val="single" w:sz="6" w:space="0" w:color="auto"/>
              <w:left w:val="single" w:sz="6" w:space="0" w:color="auto"/>
              <w:bottom w:val="single" w:sz="6" w:space="0" w:color="auto"/>
              <w:right w:val="single" w:sz="6" w:space="0" w:color="auto"/>
            </w:tcBorders>
            <w:vAlign w:val="center"/>
          </w:tcPr>
          <w:p w14:paraId="463113D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63D3F23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Однорівнева</w:t>
            </w:r>
            <w:proofErr w:type="spellEnd"/>
          </w:p>
          <w:p w14:paraId="5500AAC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V</w:t>
            </w:r>
            <w:r w:rsidRPr="004229C1">
              <w:rPr>
                <w:rFonts w:ascii="Times New Roman" w:hAnsi="Times New Roman" w:cs="Times New Roman"/>
                <w:kern w:val="0"/>
                <w:lang w:val="uk-UA"/>
              </w:rPr>
              <w:tab/>
              <w:t>Дворівнева</w:t>
            </w:r>
          </w:p>
          <w:p w14:paraId="15A4A35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ab/>
              <w:t>Інше</w:t>
            </w:r>
          </w:p>
        </w:tc>
      </w:tr>
    </w:tbl>
    <w:p w14:paraId="65E5CDF0"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3C1A623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7469BF" w:rsidRPr="004229C1" w14:paraId="0EE34BAD" w14:textId="77777777">
        <w:trPr>
          <w:trHeight w:val="300"/>
        </w:trPr>
        <w:tc>
          <w:tcPr>
            <w:tcW w:w="500" w:type="dxa"/>
            <w:tcBorders>
              <w:top w:val="single" w:sz="6" w:space="0" w:color="auto"/>
              <w:bottom w:val="single" w:sz="6" w:space="0" w:color="auto"/>
              <w:right w:val="single" w:sz="6" w:space="0" w:color="auto"/>
            </w:tcBorders>
            <w:vAlign w:val="center"/>
          </w:tcPr>
          <w:p w14:paraId="5B37367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p>
        </w:tc>
        <w:tc>
          <w:tcPr>
            <w:tcW w:w="3500" w:type="dxa"/>
            <w:tcBorders>
              <w:top w:val="single" w:sz="6" w:space="0" w:color="auto"/>
              <w:left w:val="single" w:sz="6" w:space="0" w:color="auto"/>
              <w:bottom w:val="single" w:sz="6" w:space="0" w:color="auto"/>
              <w:right w:val="single" w:sz="6" w:space="0" w:color="auto"/>
            </w:tcBorders>
            <w:vAlign w:val="center"/>
          </w:tcPr>
          <w:p w14:paraId="7030720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Повне найменування (в </w:t>
            </w:r>
            <w:proofErr w:type="spellStart"/>
            <w:r w:rsidRPr="004229C1">
              <w:rPr>
                <w:rFonts w:ascii="Times New Roman" w:hAnsi="Times New Roman" w:cs="Times New Roman"/>
                <w:kern w:val="0"/>
                <w:lang w:val="uk-UA"/>
              </w:rPr>
              <w:t>т.ч</w:t>
            </w:r>
            <w:proofErr w:type="spellEnd"/>
            <w:r w:rsidRPr="004229C1">
              <w:rPr>
                <w:rFonts w:ascii="Times New Roman" w:hAnsi="Times New Roman" w:cs="Times New Roman"/>
                <w:kern w:val="0"/>
                <w:lang w:val="uk-UA"/>
              </w:rPr>
              <w:t>. філії, відділення банку)</w:t>
            </w:r>
          </w:p>
        </w:tc>
        <w:tc>
          <w:tcPr>
            <w:tcW w:w="6465" w:type="dxa"/>
            <w:tcBorders>
              <w:top w:val="single" w:sz="6" w:space="0" w:color="auto"/>
              <w:left w:val="single" w:sz="6" w:space="0" w:color="auto"/>
              <w:bottom w:val="single" w:sz="6" w:space="0" w:color="auto"/>
            </w:tcBorders>
            <w:vAlign w:val="center"/>
          </w:tcPr>
          <w:p w14:paraId="0D94573C" w14:textId="35A57F8A"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proofErr w:type="spellStart"/>
            <w:r w:rsidRPr="004229C1">
              <w:rPr>
                <w:rFonts w:ascii="Times New Roman" w:hAnsi="Times New Roman" w:cs="Times New Roman"/>
                <w:kern w:val="0"/>
                <w:lang w:val="uk-UA"/>
              </w:rPr>
              <w:t>Нацiональний</w:t>
            </w:r>
            <w:proofErr w:type="spellEnd"/>
            <w:r w:rsidRPr="004229C1">
              <w:rPr>
                <w:rFonts w:ascii="Times New Roman" w:hAnsi="Times New Roman" w:cs="Times New Roman"/>
                <w:kern w:val="0"/>
                <w:lang w:val="uk-UA"/>
              </w:rPr>
              <w:t xml:space="preserve"> банк України</w:t>
            </w:r>
          </w:p>
        </w:tc>
      </w:tr>
      <w:tr w:rsidR="007469BF" w:rsidRPr="004229C1" w14:paraId="424F02E5" w14:textId="77777777">
        <w:trPr>
          <w:trHeight w:val="300"/>
        </w:trPr>
        <w:tc>
          <w:tcPr>
            <w:tcW w:w="500" w:type="dxa"/>
            <w:tcBorders>
              <w:top w:val="single" w:sz="6" w:space="0" w:color="auto"/>
              <w:bottom w:val="single" w:sz="6" w:space="0" w:color="auto"/>
              <w:right w:val="single" w:sz="6" w:space="0" w:color="auto"/>
            </w:tcBorders>
            <w:vAlign w:val="center"/>
          </w:tcPr>
          <w:p w14:paraId="40DAEC23"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29A1CEB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F83E758" w14:textId="7BD689E4" w:rsidR="007469BF" w:rsidRPr="004229C1" w:rsidRDefault="00D44E4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00032106 </w:t>
            </w:r>
          </w:p>
        </w:tc>
      </w:tr>
      <w:tr w:rsidR="007469BF" w:rsidRPr="004229C1" w14:paraId="4ECA7DEF" w14:textId="77777777">
        <w:trPr>
          <w:trHeight w:val="300"/>
        </w:trPr>
        <w:tc>
          <w:tcPr>
            <w:tcW w:w="500" w:type="dxa"/>
            <w:tcBorders>
              <w:top w:val="single" w:sz="6" w:space="0" w:color="auto"/>
              <w:bottom w:val="single" w:sz="6" w:space="0" w:color="auto"/>
              <w:right w:val="single" w:sz="6" w:space="0" w:color="auto"/>
            </w:tcBorders>
            <w:vAlign w:val="center"/>
          </w:tcPr>
          <w:p w14:paraId="6C2EE28E"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5DB659D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IBAN</w:t>
            </w:r>
          </w:p>
        </w:tc>
        <w:tc>
          <w:tcPr>
            <w:tcW w:w="6465" w:type="dxa"/>
            <w:tcBorders>
              <w:top w:val="single" w:sz="6" w:space="0" w:color="auto"/>
              <w:left w:val="single" w:sz="6" w:space="0" w:color="auto"/>
              <w:bottom w:val="single" w:sz="6" w:space="0" w:color="auto"/>
            </w:tcBorders>
            <w:vAlign w:val="center"/>
          </w:tcPr>
          <w:p w14:paraId="37A1A1D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UA813000010000032006102801026</w:t>
            </w:r>
          </w:p>
        </w:tc>
      </w:tr>
      <w:tr w:rsidR="007469BF" w:rsidRPr="004229C1" w14:paraId="19D76782" w14:textId="77777777">
        <w:trPr>
          <w:trHeight w:val="300"/>
        </w:trPr>
        <w:tc>
          <w:tcPr>
            <w:tcW w:w="500" w:type="dxa"/>
            <w:tcBorders>
              <w:top w:val="single" w:sz="6" w:space="0" w:color="auto"/>
              <w:bottom w:val="single" w:sz="6" w:space="0" w:color="auto"/>
              <w:right w:val="single" w:sz="6" w:space="0" w:color="auto"/>
            </w:tcBorders>
            <w:vAlign w:val="center"/>
          </w:tcPr>
          <w:p w14:paraId="494E28F1"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56858DB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Валюта рахунку</w:t>
            </w:r>
          </w:p>
        </w:tc>
        <w:tc>
          <w:tcPr>
            <w:tcW w:w="6465" w:type="dxa"/>
            <w:tcBorders>
              <w:top w:val="single" w:sz="6" w:space="0" w:color="auto"/>
              <w:left w:val="single" w:sz="6" w:space="0" w:color="auto"/>
              <w:bottom w:val="single" w:sz="6" w:space="0" w:color="auto"/>
            </w:tcBorders>
            <w:vAlign w:val="center"/>
          </w:tcPr>
          <w:p w14:paraId="5C99F84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UAH</w:t>
            </w:r>
          </w:p>
        </w:tc>
      </w:tr>
      <w:tr w:rsidR="007469BF" w:rsidRPr="004229C1" w14:paraId="49D2D641" w14:textId="77777777">
        <w:trPr>
          <w:trHeight w:val="300"/>
        </w:trPr>
        <w:tc>
          <w:tcPr>
            <w:tcW w:w="500" w:type="dxa"/>
            <w:tcBorders>
              <w:top w:val="single" w:sz="6" w:space="0" w:color="auto"/>
              <w:bottom w:val="single" w:sz="6" w:space="0" w:color="auto"/>
              <w:right w:val="single" w:sz="6" w:space="0" w:color="auto"/>
            </w:tcBorders>
            <w:vAlign w:val="center"/>
          </w:tcPr>
          <w:p w14:paraId="77AAAF4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2</w:t>
            </w:r>
          </w:p>
        </w:tc>
        <w:tc>
          <w:tcPr>
            <w:tcW w:w="3500" w:type="dxa"/>
            <w:tcBorders>
              <w:top w:val="single" w:sz="6" w:space="0" w:color="auto"/>
              <w:left w:val="single" w:sz="6" w:space="0" w:color="auto"/>
              <w:bottom w:val="single" w:sz="6" w:space="0" w:color="auto"/>
              <w:right w:val="single" w:sz="6" w:space="0" w:color="auto"/>
            </w:tcBorders>
            <w:vAlign w:val="center"/>
          </w:tcPr>
          <w:p w14:paraId="6A133AD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Повне найменування (в </w:t>
            </w:r>
            <w:proofErr w:type="spellStart"/>
            <w:r w:rsidRPr="004229C1">
              <w:rPr>
                <w:rFonts w:ascii="Times New Roman" w:hAnsi="Times New Roman" w:cs="Times New Roman"/>
                <w:kern w:val="0"/>
                <w:lang w:val="uk-UA"/>
              </w:rPr>
              <w:t>т.ч</w:t>
            </w:r>
            <w:proofErr w:type="spellEnd"/>
            <w:r w:rsidRPr="004229C1">
              <w:rPr>
                <w:rFonts w:ascii="Times New Roman" w:hAnsi="Times New Roman" w:cs="Times New Roman"/>
                <w:kern w:val="0"/>
                <w:lang w:val="uk-UA"/>
              </w:rPr>
              <w:t>. філії, відділення банку)</w:t>
            </w:r>
          </w:p>
        </w:tc>
        <w:tc>
          <w:tcPr>
            <w:tcW w:w="6465" w:type="dxa"/>
            <w:tcBorders>
              <w:top w:val="single" w:sz="6" w:space="0" w:color="auto"/>
              <w:left w:val="single" w:sz="6" w:space="0" w:color="auto"/>
              <w:bottom w:val="single" w:sz="6" w:space="0" w:color="auto"/>
            </w:tcBorders>
            <w:vAlign w:val="center"/>
          </w:tcPr>
          <w:p w14:paraId="7EC43FDC" w14:textId="7074D74D"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Intesa </w:t>
            </w:r>
            <w:proofErr w:type="spellStart"/>
            <w:r w:rsidRPr="004229C1">
              <w:rPr>
                <w:rFonts w:ascii="Times New Roman" w:hAnsi="Times New Roman" w:cs="Times New Roman"/>
                <w:kern w:val="0"/>
                <w:lang w:val="uk-UA"/>
              </w:rPr>
              <w:t>Sanpaolo</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S.p.A</w:t>
            </w:r>
            <w:proofErr w:type="spellEnd"/>
            <w:r w:rsidRPr="004229C1">
              <w:rPr>
                <w:rFonts w:ascii="Times New Roman" w:hAnsi="Times New Roman" w:cs="Times New Roman"/>
                <w:kern w:val="0"/>
                <w:lang w:val="uk-UA"/>
              </w:rPr>
              <w:t>.</w:t>
            </w:r>
            <w:r w:rsidR="00D44E44" w:rsidRPr="004229C1">
              <w:rPr>
                <w:rFonts w:ascii="Times New Roman" w:hAnsi="Times New Roman" w:cs="Times New Roman"/>
                <w:kern w:val="0"/>
                <w:lang w:val="uk-UA"/>
              </w:rPr>
              <w:t xml:space="preserve"> (</w:t>
            </w:r>
            <w:proofErr w:type="spellStart"/>
            <w:r w:rsidR="00D44E44" w:rsidRPr="004229C1">
              <w:rPr>
                <w:rFonts w:ascii="Times New Roman" w:hAnsi="Times New Roman" w:cs="Times New Roman"/>
                <w:kern w:val="0"/>
                <w:lang w:val="uk-UA"/>
              </w:rPr>
              <w:t>Інтеза</w:t>
            </w:r>
            <w:proofErr w:type="spellEnd"/>
            <w:r w:rsidR="00D44E44" w:rsidRPr="004229C1">
              <w:rPr>
                <w:rFonts w:ascii="Times New Roman" w:hAnsi="Times New Roman" w:cs="Times New Roman"/>
                <w:kern w:val="0"/>
                <w:lang w:val="uk-UA"/>
              </w:rPr>
              <w:t xml:space="preserve"> </w:t>
            </w:r>
            <w:proofErr w:type="spellStart"/>
            <w:r w:rsidR="00D44E44" w:rsidRPr="004229C1">
              <w:rPr>
                <w:rFonts w:ascii="Times New Roman" w:hAnsi="Times New Roman" w:cs="Times New Roman"/>
                <w:kern w:val="0"/>
                <w:lang w:val="uk-UA"/>
              </w:rPr>
              <w:t>Санпаоло</w:t>
            </w:r>
            <w:proofErr w:type="spellEnd"/>
            <w:r w:rsidR="00D44E44" w:rsidRPr="004229C1">
              <w:rPr>
                <w:rFonts w:ascii="Times New Roman" w:hAnsi="Times New Roman" w:cs="Times New Roman"/>
                <w:kern w:val="0"/>
                <w:lang w:val="uk-UA"/>
              </w:rPr>
              <w:t xml:space="preserve"> </w:t>
            </w:r>
            <w:proofErr w:type="spellStart"/>
            <w:r w:rsidR="00D44E44" w:rsidRPr="004229C1">
              <w:rPr>
                <w:rFonts w:ascii="Times New Roman" w:hAnsi="Times New Roman" w:cs="Times New Roman"/>
                <w:kern w:val="0"/>
                <w:lang w:val="uk-UA"/>
              </w:rPr>
              <w:t>С.п.А</w:t>
            </w:r>
            <w:proofErr w:type="spellEnd"/>
            <w:r w:rsidR="00D44E44" w:rsidRPr="004229C1">
              <w:rPr>
                <w:rFonts w:ascii="Times New Roman" w:hAnsi="Times New Roman" w:cs="Times New Roman"/>
                <w:kern w:val="0"/>
                <w:lang w:val="uk-UA"/>
              </w:rPr>
              <w:t>.)</w:t>
            </w:r>
          </w:p>
        </w:tc>
      </w:tr>
      <w:tr w:rsidR="007469BF" w:rsidRPr="004229C1" w14:paraId="0765053F" w14:textId="77777777">
        <w:trPr>
          <w:trHeight w:val="300"/>
        </w:trPr>
        <w:tc>
          <w:tcPr>
            <w:tcW w:w="500" w:type="dxa"/>
            <w:tcBorders>
              <w:top w:val="single" w:sz="6" w:space="0" w:color="auto"/>
              <w:bottom w:val="single" w:sz="6" w:space="0" w:color="auto"/>
              <w:right w:val="single" w:sz="6" w:space="0" w:color="auto"/>
            </w:tcBorders>
            <w:vAlign w:val="center"/>
          </w:tcPr>
          <w:p w14:paraId="387254DB"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152E15D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408F9D4" w14:textId="5B768547" w:rsidR="007469BF" w:rsidRPr="004229C1" w:rsidRDefault="00E35F0D">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w:t>
            </w:r>
          </w:p>
        </w:tc>
      </w:tr>
      <w:tr w:rsidR="007469BF" w:rsidRPr="004229C1" w14:paraId="3932948A" w14:textId="77777777">
        <w:trPr>
          <w:trHeight w:val="300"/>
        </w:trPr>
        <w:tc>
          <w:tcPr>
            <w:tcW w:w="500" w:type="dxa"/>
            <w:tcBorders>
              <w:top w:val="single" w:sz="6" w:space="0" w:color="auto"/>
              <w:bottom w:val="single" w:sz="6" w:space="0" w:color="auto"/>
              <w:right w:val="single" w:sz="6" w:space="0" w:color="auto"/>
            </w:tcBorders>
            <w:vAlign w:val="center"/>
          </w:tcPr>
          <w:p w14:paraId="49870373"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5B9C2A2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IBAN</w:t>
            </w:r>
          </w:p>
        </w:tc>
        <w:tc>
          <w:tcPr>
            <w:tcW w:w="6465" w:type="dxa"/>
            <w:tcBorders>
              <w:top w:val="single" w:sz="6" w:space="0" w:color="auto"/>
              <w:left w:val="single" w:sz="6" w:space="0" w:color="auto"/>
              <w:bottom w:val="single" w:sz="6" w:space="0" w:color="auto"/>
            </w:tcBorders>
            <w:vAlign w:val="center"/>
          </w:tcPr>
          <w:p w14:paraId="11099F5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IT90U0306940101100100004826</w:t>
            </w:r>
          </w:p>
        </w:tc>
      </w:tr>
      <w:tr w:rsidR="007469BF" w:rsidRPr="004229C1" w14:paraId="3ABCFE94" w14:textId="77777777">
        <w:trPr>
          <w:trHeight w:val="300"/>
        </w:trPr>
        <w:tc>
          <w:tcPr>
            <w:tcW w:w="500" w:type="dxa"/>
            <w:tcBorders>
              <w:top w:val="single" w:sz="6" w:space="0" w:color="auto"/>
              <w:bottom w:val="single" w:sz="6" w:space="0" w:color="auto"/>
              <w:right w:val="single" w:sz="6" w:space="0" w:color="auto"/>
            </w:tcBorders>
            <w:vAlign w:val="center"/>
          </w:tcPr>
          <w:p w14:paraId="647933FE"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18CC8A8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Валюта рахунку</w:t>
            </w:r>
          </w:p>
        </w:tc>
        <w:tc>
          <w:tcPr>
            <w:tcW w:w="6465" w:type="dxa"/>
            <w:tcBorders>
              <w:top w:val="single" w:sz="6" w:space="0" w:color="auto"/>
              <w:left w:val="single" w:sz="6" w:space="0" w:color="auto"/>
              <w:bottom w:val="single" w:sz="6" w:space="0" w:color="auto"/>
            </w:tcBorders>
            <w:vAlign w:val="center"/>
          </w:tcPr>
          <w:p w14:paraId="79EAAB5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EUR</w:t>
            </w:r>
          </w:p>
        </w:tc>
      </w:tr>
      <w:tr w:rsidR="008A4919" w:rsidRPr="004229C1" w14:paraId="20CF41B3" w14:textId="77777777" w:rsidTr="008A4919">
        <w:trPr>
          <w:trHeight w:val="300"/>
        </w:trPr>
        <w:tc>
          <w:tcPr>
            <w:tcW w:w="500" w:type="dxa"/>
            <w:tcBorders>
              <w:top w:val="single" w:sz="6" w:space="0" w:color="auto"/>
              <w:left w:val="single" w:sz="6" w:space="0" w:color="auto"/>
              <w:bottom w:val="single" w:sz="6" w:space="0" w:color="auto"/>
              <w:right w:val="single" w:sz="6" w:space="0" w:color="auto"/>
            </w:tcBorders>
            <w:vAlign w:val="center"/>
          </w:tcPr>
          <w:p w14:paraId="10A58E25" w14:textId="188AE5F2"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3</w:t>
            </w:r>
          </w:p>
        </w:tc>
        <w:tc>
          <w:tcPr>
            <w:tcW w:w="3500" w:type="dxa"/>
            <w:tcBorders>
              <w:top w:val="single" w:sz="6" w:space="0" w:color="auto"/>
              <w:left w:val="single" w:sz="6" w:space="0" w:color="auto"/>
              <w:bottom w:val="single" w:sz="6" w:space="0" w:color="auto"/>
              <w:right w:val="single" w:sz="6" w:space="0" w:color="auto"/>
            </w:tcBorders>
            <w:vAlign w:val="center"/>
          </w:tcPr>
          <w:p w14:paraId="3A4AD405" w14:textId="29DCE738"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Повне найменування (в </w:t>
            </w:r>
            <w:proofErr w:type="spellStart"/>
            <w:r w:rsidRPr="004229C1">
              <w:rPr>
                <w:rFonts w:ascii="Times New Roman" w:hAnsi="Times New Roman" w:cs="Times New Roman"/>
                <w:kern w:val="0"/>
                <w:lang w:val="uk-UA"/>
              </w:rPr>
              <w:t>т.ч</w:t>
            </w:r>
            <w:proofErr w:type="spellEnd"/>
            <w:r w:rsidRPr="004229C1">
              <w:rPr>
                <w:rFonts w:ascii="Times New Roman" w:hAnsi="Times New Roman" w:cs="Times New Roman"/>
                <w:kern w:val="0"/>
                <w:lang w:val="uk-UA"/>
              </w:rPr>
              <w:t>. філії, відділення банку)</w:t>
            </w:r>
          </w:p>
        </w:tc>
        <w:tc>
          <w:tcPr>
            <w:tcW w:w="6465" w:type="dxa"/>
            <w:tcBorders>
              <w:top w:val="single" w:sz="6" w:space="0" w:color="auto"/>
              <w:left w:val="single" w:sz="6" w:space="0" w:color="auto"/>
              <w:bottom w:val="single" w:sz="6" w:space="0" w:color="auto"/>
              <w:right w:val="single" w:sz="6" w:space="0" w:color="auto"/>
            </w:tcBorders>
            <w:vAlign w:val="center"/>
          </w:tcPr>
          <w:p w14:paraId="63B48E98" w14:textId="73D1F676"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JP MORGAN CHASE BANK, N.A</w:t>
            </w:r>
          </w:p>
        </w:tc>
      </w:tr>
      <w:tr w:rsidR="008A4919" w:rsidRPr="004229C1" w14:paraId="473EC157" w14:textId="77777777" w:rsidTr="008A4919">
        <w:trPr>
          <w:trHeight w:val="300"/>
        </w:trPr>
        <w:tc>
          <w:tcPr>
            <w:tcW w:w="500" w:type="dxa"/>
            <w:tcBorders>
              <w:top w:val="single" w:sz="6" w:space="0" w:color="auto"/>
              <w:left w:val="single" w:sz="6" w:space="0" w:color="auto"/>
              <w:bottom w:val="single" w:sz="6" w:space="0" w:color="auto"/>
              <w:right w:val="single" w:sz="6" w:space="0" w:color="auto"/>
            </w:tcBorders>
            <w:vAlign w:val="center"/>
          </w:tcPr>
          <w:p w14:paraId="4A1839C2"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1E6C9721" w14:textId="7CEF9C94"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юридичної особи</w:t>
            </w:r>
          </w:p>
        </w:tc>
        <w:tc>
          <w:tcPr>
            <w:tcW w:w="6465" w:type="dxa"/>
            <w:tcBorders>
              <w:top w:val="single" w:sz="6" w:space="0" w:color="auto"/>
              <w:left w:val="single" w:sz="6" w:space="0" w:color="auto"/>
              <w:bottom w:val="single" w:sz="6" w:space="0" w:color="auto"/>
              <w:right w:val="single" w:sz="6" w:space="0" w:color="auto"/>
            </w:tcBorders>
            <w:vAlign w:val="center"/>
          </w:tcPr>
          <w:p w14:paraId="46EE83B0" w14:textId="6CE3EA5A" w:rsidR="008A4919" w:rsidRPr="004229C1" w:rsidRDefault="00E35F0D"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w:t>
            </w:r>
          </w:p>
        </w:tc>
      </w:tr>
      <w:tr w:rsidR="008A4919" w:rsidRPr="004229C1" w14:paraId="5F8F8426" w14:textId="77777777" w:rsidTr="008A4919">
        <w:trPr>
          <w:trHeight w:val="300"/>
        </w:trPr>
        <w:tc>
          <w:tcPr>
            <w:tcW w:w="500" w:type="dxa"/>
            <w:tcBorders>
              <w:top w:val="single" w:sz="6" w:space="0" w:color="auto"/>
              <w:left w:val="single" w:sz="6" w:space="0" w:color="auto"/>
              <w:bottom w:val="single" w:sz="6" w:space="0" w:color="auto"/>
              <w:right w:val="single" w:sz="6" w:space="0" w:color="auto"/>
            </w:tcBorders>
            <w:vAlign w:val="center"/>
          </w:tcPr>
          <w:p w14:paraId="4D8C0E9B"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11192EA6" w14:textId="155AF14D"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IBAN</w:t>
            </w:r>
          </w:p>
        </w:tc>
        <w:tc>
          <w:tcPr>
            <w:tcW w:w="6465" w:type="dxa"/>
            <w:tcBorders>
              <w:top w:val="single" w:sz="6" w:space="0" w:color="auto"/>
              <w:left w:val="single" w:sz="6" w:space="0" w:color="auto"/>
              <w:bottom w:val="single" w:sz="6" w:space="0" w:color="auto"/>
              <w:right w:val="single" w:sz="6" w:space="0" w:color="auto"/>
            </w:tcBorders>
            <w:vAlign w:val="center"/>
          </w:tcPr>
          <w:p w14:paraId="0E1F3DB8" w14:textId="46568C88"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219081673</w:t>
            </w:r>
          </w:p>
        </w:tc>
      </w:tr>
      <w:tr w:rsidR="008A4919" w:rsidRPr="004229C1" w14:paraId="50220F39" w14:textId="77777777" w:rsidTr="008A4919">
        <w:trPr>
          <w:trHeight w:val="300"/>
        </w:trPr>
        <w:tc>
          <w:tcPr>
            <w:tcW w:w="500" w:type="dxa"/>
            <w:tcBorders>
              <w:top w:val="single" w:sz="6" w:space="0" w:color="auto"/>
              <w:left w:val="single" w:sz="6" w:space="0" w:color="auto"/>
              <w:bottom w:val="single" w:sz="6" w:space="0" w:color="auto"/>
              <w:right w:val="single" w:sz="6" w:space="0" w:color="auto"/>
            </w:tcBorders>
            <w:vAlign w:val="center"/>
          </w:tcPr>
          <w:p w14:paraId="1FCD8A83"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14:paraId="2B477BDD" w14:textId="78239E9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Валюта рахунку</w:t>
            </w:r>
          </w:p>
        </w:tc>
        <w:tc>
          <w:tcPr>
            <w:tcW w:w="6465" w:type="dxa"/>
            <w:tcBorders>
              <w:top w:val="single" w:sz="6" w:space="0" w:color="auto"/>
              <w:left w:val="single" w:sz="6" w:space="0" w:color="auto"/>
              <w:bottom w:val="single" w:sz="6" w:space="0" w:color="auto"/>
              <w:right w:val="single" w:sz="6" w:space="0" w:color="auto"/>
            </w:tcBorders>
            <w:vAlign w:val="center"/>
          </w:tcPr>
          <w:p w14:paraId="70679091" w14:textId="36527323"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USD</w:t>
            </w:r>
          </w:p>
        </w:tc>
      </w:tr>
    </w:tbl>
    <w:p w14:paraId="7F7F4DE7"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51DC847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7469BF" w:rsidRPr="004229C1" w14:paraId="75DF999F" w14:textId="77777777">
        <w:trPr>
          <w:trHeight w:val="300"/>
        </w:trPr>
        <w:tc>
          <w:tcPr>
            <w:tcW w:w="550" w:type="dxa"/>
            <w:tcBorders>
              <w:top w:val="single" w:sz="6" w:space="0" w:color="auto"/>
              <w:bottom w:val="single" w:sz="6" w:space="0" w:color="auto"/>
              <w:right w:val="single" w:sz="6" w:space="0" w:color="auto"/>
            </w:tcBorders>
            <w:vAlign w:val="center"/>
          </w:tcPr>
          <w:p w14:paraId="13D2924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1042D82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 xml:space="preserve">Повне найменування, країна місцезнаходження, посилання на </w:t>
            </w:r>
            <w:proofErr w:type="spellStart"/>
            <w:r w:rsidRPr="004229C1">
              <w:rPr>
                <w:rFonts w:ascii="Times New Roman" w:hAnsi="Times New Roman" w:cs="Times New Roman"/>
                <w:kern w:val="0"/>
                <w:lang w:val="uk-UA"/>
              </w:rPr>
              <w:t>вебсайт</w:t>
            </w:r>
            <w:proofErr w:type="spellEnd"/>
            <w:r w:rsidRPr="004229C1">
              <w:rPr>
                <w:rFonts w:ascii="Times New Roman" w:hAnsi="Times New Roman" w:cs="Times New Roman"/>
                <w:kern w:val="0"/>
                <w:lang w:val="uk-UA"/>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6F6C387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25C04D8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5D6B3BB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Рівень кредитного рейтингу особи або цінних паперів особи</w:t>
            </w:r>
          </w:p>
        </w:tc>
      </w:tr>
      <w:tr w:rsidR="007469BF" w:rsidRPr="004229C1" w14:paraId="281B4B41" w14:textId="77777777">
        <w:trPr>
          <w:trHeight w:val="300"/>
        </w:trPr>
        <w:tc>
          <w:tcPr>
            <w:tcW w:w="550" w:type="dxa"/>
            <w:tcBorders>
              <w:top w:val="single" w:sz="6" w:space="0" w:color="auto"/>
              <w:bottom w:val="single" w:sz="6" w:space="0" w:color="auto"/>
              <w:right w:val="single" w:sz="6" w:space="0" w:color="auto"/>
            </w:tcBorders>
            <w:vAlign w:val="center"/>
          </w:tcPr>
          <w:p w14:paraId="1E15726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p>
        </w:tc>
        <w:tc>
          <w:tcPr>
            <w:tcW w:w="2450" w:type="dxa"/>
            <w:tcBorders>
              <w:top w:val="single" w:sz="6" w:space="0" w:color="auto"/>
              <w:left w:val="single" w:sz="6" w:space="0" w:color="auto"/>
              <w:bottom w:val="single" w:sz="6" w:space="0" w:color="auto"/>
              <w:right w:val="single" w:sz="6" w:space="0" w:color="auto"/>
            </w:tcBorders>
            <w:vAlign w:val="center"/>
          </w:tcPr>
          <w:p w14:paraId="37D2CD2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2</w:t>
            </w:r>
          </w:p>
        </w:tc>
        <w:tc>
          <w:tcPr>
            <w:tcW w:w="2500" w:type="dxa"/>
            <w:tcBorders>
              <w:top w:val="single" w:sz="6" w:space="0" w:color="auto"/>
              <w:left w:val="single" w:sz="6" w:space="0" w:color="auto"/>
              <w:bottom w:val="single" w:sz="6" w:space="0" w:color="auto"/>
              <w:right w:val="single" w:sz="6" w:space="0" w:color="auto"/>
            </w:tcBorders>
            <w:vAlign w:val="center"/>
          </w:tcPr>
          <w:p w14:paraId="2D164FE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3</w:t>
            </w:r>
          </w:p>
        </w:tc>
        <w:tc>
          <w:tcPr>
            <w:tcW w:w="2500" w:type="dxa"/>
            <w:tcBorders>
              <w:top w:val="single" w:sz="6" w:space="0" w:color="auto"/>
              <w:left w:val="single" w:sz="6" w:space="0" w:color="auto"/>
              <w:bottom w:val="single" w:sz="6" w:space="0" w:color="auto"/>
              <w:right w:val="single" w:sz="6" w:space="0" w:color="auto"/>
            </w:tcBorders>
            <w:vAlign w:val="center"/>
          </w:tcPr>
          <w:p w14:paraId="4C0423D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4</w:t>
            </w:r>
          </w:p>
        </w:tc>
        <w:tc>
          <w:tcPr>
            <w:tcW w:w="2500" w:type="dxa"/>
            <w:tcBorders>
              <w:top w:val="single" w:sz="6" w:space="0" w:color="auto"/>
              <w:left w:val="single" w:sz="6" w:space="0" w:color="auto"/>
              <w:bottom w:val="single" w:sz="6" w:space="0" w:color="auto"/>
            </w:tcBorders>
            <w:vAlign w:val="center"/>
          </w:tcPr>
          <w:p w14:paraId="55E0B20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5</w:t>
            </w:r>
          </w:p>
        </w:tc>
      </w:tr>
      <w:tr w:rsidR="007E7E5D" w:rsidRPr="004229C1" w14:paraId="79AAFDD7" w14:textId="77777777">
        <w:trPr>
          <w:trHeight w:val="300"/>
        </w:trPr>
        <w:tc>
          <w:tcPr>
            <w:tcW w:w="550" w:type="dxa"/>
            <w:tcBorders>
              <w:top w:val="single" w:sz="6" w:space="0" w:color="auto"/>
              <w:bottom w:val="single" w:sz="6" w:space="0" w:color="auto"/>
              <w:right w:val="single" w:sz="6" w:space="0" w:color="auto"/>
            </w:tcBorders>
          </w:tcPr>
          <w:p w14:paraId="3A22CEBC" w14:textId="7777777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p>
        </w:tc>
        <w:tc>
          <w:tcPr>
            <w:tcW w:w="2450" w:type="dxa"/>
            <w:tcBorders>
              <w:top w:val="single" w:sz="6" w:space="0" w:color="auto"/>
              <w:left w:val="single" w:sz="6" w:space="0" w:color="auto"/>
              <w:bottom w:val="single" w:sz="6" w:space="0" w:color="auto"/>
              <w:right w:val="single" w:sz="6" w:space="0" w:color="auto"/>
            </w:tcBorders>
          </w:tcPr>
          <w:p w14:paraId="49AEA676" w14:textId="7777777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ТОВ "РА "Стандарт-Рейтинг"</w:t>
            </w:r>
          </w:p>
          <w:p w14:paraId="4C34D847" w14:textId="7777777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Україна</w:t>
            </w:r>
          </w:p>
          <w:p w14:paraId="0E4DC6FC" w14:textId="225A0CB6"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www.standard-rating.biz</w:t>
            </w:r>
          </w:p>
        </w:tc>
        <w:tc>
          <w:tcPr>
            <w:tcW w:w="2500" w:type="dxa"/>
            <w:tcBorders>
              <w:top w:val="single" w:sz="6" w:space="0" w:color="auto"/>
              <w:left w:val="single" w:sz="6" w:space="0" w:color="auto"/>
              <w:bottom w:val="single" w:sz="6" w:space="0" w:color="auto"/>
              <w:right w:val="single" w:sz="6" w:space="0" w:color="auto"/>
            </w:tcBorders>
          </w:tcPr>
          <w:p w14:paraId="58D76865" w14:textId="53646964"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5ACCC308" w14:textId="170F1FC5"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 xml:space="preserve">Оновлення рейтингової оцінки емітента </w:t>
            </w:r>
            <w:r w:rsidR="00867A34" w:rsidRPr="004229C1">
              <w:rPr>
                <w:rFonts w:ascii="Times New Roman CYR" w:hAnsi="Times New Roman CYR" w:cs="Times New Roman CYR"/>
                <w:kern w:val="0"/>
                <w:lang w:val="uk-UA"/>
              </w:rPr>
              <w:t>02.12.2024</w:t>
            </w:r>
          </w:p>
        </w:tc>
        <w:tc>
          <w:tcPr>
            <w:tcW w:w="2500" w:type="dxa"/>
            <w:tcBorders>
              <w:top w:val="single" w:sz="6" w:space="0" w:color="auto"/>
              <w:left w:val="single" w:sz="6" w:space="0" w:color="auto"/>
              <w:bottom w:val="single" w:sz="6" w:space="0" w:color="auto"/>
            </w:tcBorders>
          </w:tcPr>
          <w:p w14:paraId="7C62E9A9" w14:textId="6B9D24D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lang w:val="uk-UA"/>
              </w:rPr>
            </w:pPr>
            <w:proofErr w:type="spellStart"/>
            <w:r w:rsidRPr="004229C1">
              <w:rPr>
                <w:rFonts w:ascii="Times New Roman" w:hAnsi="Times New Roman" w:cs="Times New Roman"/>
                <w:kern w:val="0"/>
                <w:lang w:val="uk-UA"/>
              </w:rPr>
              <w:t>uaААА</w:t>
            </w:r>
            <w:proofErr w:type="spellEnd"/>
          </w:p>
        </w:tc>
      </w:tr>
    </w:tbl>
    <w:p w14:paraId="2FD90E47"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3505864C"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sectPr w:rsidR="007469BF" w:rsidRPr="004229C1">
          <w:pgSz w:w="12240" w:h="15840"/>
          <w:pgMar w:top="570" w:right="720" w:bottom="570" w:left="720" w:header="720" w:footer="720" w:gutter="0"/>
          <w:cols w:space="720"/>
          <w:noEndnote/>
        </w:sectPr>
      </w:pPr>
    </w:p>
    <w:p w14:paraId="2FFDD68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Судові справи:</w:t>
      </w:r>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035"/>
        <w:gridCol w:w="1701"/>
        <w:gridCol w:w="1843"/>
        <w:gridCol w:w="1418"/>
        <w:gridCol w:w="2268"/>
        <w:gridCol w:w="2409"/>
        <w:gridCol w:w="4176"/>
      </w:tblGrid>
      <w:tr w:rsidR="007469BF" w:rsidRPr="004229C1" w14:paraId="100FE984" w14:textId="77777777" w:rsidTr="004A3B2B">
        <w:trPr>
          <w:trHeight w:val="200"/>
        </w:trPr>
        <w:tc>
          <w:tcPr>
            <w:tcW w:w="550" w:type="dxa"/>
            <w:tcBorders>
              <w:top w:val="single" w:sz="6" w:space="0" w:color="auto"/>
              <w:bottom w:val="single" w:sz="6" w:space="0" w:color="auto"/>
              <w:right w:val="single" w:sz="6" w:space="0" w:color="auto"/>
            </w:tcBorders>
            <w:vAlign w:val="center"/>
          </w:tcPr>
          <w:p w14:paraId="381C708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1035" w:type="dxa"/>
            <w:tcBorders>
              <w:top w:val="single" w:sz="6" w:space="0" w:color="auto"/>
              <w:left w:val="single" w:sz="6" w:space="0" w:color="auto"/>
              <w:bottom w:val="single" w:sz="6" w:space="0" w:color="auto"/>
              <w:right w:val="single" w:sz="6" w:space="0" w:color="auto"/>
            </w:tcBorders>
            <w:vAlign w:val="center"/>
          </w:tcPr>
          <w:p w14:paraId="3615E9A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Номер справи та дата відкриття провадження</w:t>
            </w:r>
          </w:p>
        </w:tc>
        <w:tc>
          <w:tcPr>
            <w:tcW w:w="1701" w:type="dxa"/>
            <w:tcBorders>
              <w:top w:val="single" w:sz="6" w:space="0" w:color="auto"/>
              <w:left w:val="single" w:sz="6" w:space="0" w:color="auto"/>
              <w:bottom w:val="single" w:sz="6" w:space="0" w:color="auto"/>
              <w:right w:val="single" w:sz="6" w:space="0" w:color="auto"/>
            </w:tcBorders>
            <w:vAlign w:val="center"/>
          </w:tcPr>
          <w:p w14:paraId="01B2444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Найменування суду</w:t>
            </w:r>
          </w:p>
        </w:tc>
        <w:tc>
          <w:tcPr>
            <w:tcW w:w="1843" w:type="dxa"/>
            <w:tcBorders>
              <w:top w:val="single" w:sz="6" w:space="0" w:color="auto"/>
              <w:left w:val="single" w:sz="6" w:space="0" w:color="auto"/>
              <w:bottom w:val="single" w:sz="6" w:space="0" w:color="auto"/>
              <w:right w:val="single" w:sz="6" w:space="0" w:color="auto"/>
            </w:tcBorders>
            <w:vAlign w:val="center"/>
          </w:tcPr>
          <w:p w14:paraId="2EF214A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Позивач</w:t>
            </w:r>
          </w:p>
        </w:tc>
        <w:tc>
          <w:tcPr>
            <w:tcW w:w="1418" w:type="dxa"/>
            <w:tcBorders>
              <w:top w:val="single" w:sz="6" w:space="0" w:color="auto"/>
              <w:left w:val="single" w:sz="6" w:space="0" w:color="auto"/>
              <w:bottom w:val="single" w:sz="6" w:space="0" w:color="auto"/>
              <w:right w:val="single" w:sz="6" w:space="0" w:color="auto"/>
            </w:tcBorders>
            <w:vAlign w:val="center"/>
          </w:tcPr>
          <w:p w14:paraId="180E779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Відповідач</w:t>
            </w:r>
          </w:p>
        </w:tc>
        <w:tc>
          <w:tcPr>
            <w:tcW w:w="2268" w:type="dxa"/>
            <w:tcBorders>
              <w:top w:val="single" w:sz="6" w:space="0" w:color="auto"/>
              <w:left w:val="single" w:sz="6" w:space="0" w:color="auto"/>
              <w:bottom w:val="single" w:sz="6" w:space="0" w:color="auto"/>
              <w:right w:val="single" w:sz="6" w:space="0" w:color="auto"/>
            </w:tcBorders>
            <w:vAlign w:val="center"/>
          </w:tcPr>
          <w:p w14:paraId="7E0E226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Третя особа</w:t>
            </w:r>
          </w:p>
        </w:tc>
        <w:tc>
          <w:tcPr>
            <w:tcW w:w="2409" w:type="dxa"/>
            <w:tcBorders>
              <w:top w:val="single" w:sz="6" w:space="0" w:color="auto"/>
              <w:left w:val="single" w:sz="6" w:space="0" w:color="auto"/>
              <w:bottom w:val="single" w:sz="6" w:space="0" w:color="auto"/>
              <w:right w:val="single" w:sz="6" w:space="0" w:color="auto"/>
            </w:tcBorders>
            <w:vAlign w:val="center"/>
          </w:tcPr>
          <w:p w14:paraId="7F49FD9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Позовні вимоги (в </w:t>
            </w:r>
            <w:proofErr w:type="spellStart"/>
            <w:r w:rsidRPr="004229C1">
              <w:rPr>
                <w:rFonts w:ascii="Times New Roman" w:hAnsi="Times New Roman" w:cs="Times New Roman"/>
                <w:kern w:val="0"/>
                <w:sz w:val="20"/>
                <w:szCs w:val="20"/>
                <w:lang w:val="uk-UA"/>
              </w:rPr>
              <w:t>т.ч</w:t>
            </w:r>
            <w:proofErr w:type="spellEnd"/>
            <w:r w:rsidRPr="004229C1">
              <w:rPr>
                <w:rFonts w:ascii="Times New Roman" w:hAnsi="Times New Roman" w:cs="Times New Roman"/>
                <w:kern w:val="0"/>
                <w:sz w:val="20"/>
                <w:szCs w:val="20"/>
                <w:lang w:val="uk-UA"/>
              </w:rPr>
              <w:t>. їх розмір)</w:t>
            </w:r>
          </w:p>
        </w:tc>
        <w:tc>
          <w:tcPr>
            <w:tcW w:w="4176" w:type="dxa"/>
            <w:tcBorders>
              <w:top w:val="single" w:sz="6" w:space="0" w:color="auto"/>
              <w:left w:val="single" w:sz="6" w:space="0" w:color="auto"/>
              <w:bottom w:val="single" w:sz="6" w:space="0" w:color="auto"/>
            </w:tcBorders>
            <w:vAlign w:val="center"/>
          </w:tcPr>
          <w:p w14:paraId="54926A9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Стан розгляду справи</w:t>
            </w:r>
          </w:p>
        </w:tc>
      </w:tr>
      <w:tr w:rsidR="007469BF" w:rsidRPr="004229C1" w14:paraId="31F0C541" w14:textId="77777777" w:rsidTr="004A3B2B">
        <w:trPr>
          <w:trHeight w:val="200"/>
        </w:trPr>
        <w:tc>
          <w:tcPr>
            <w:tcW w:w="550" w:type="dxa"/>
            <w:tcBorders>
              <w:top w:val="single" w:sz="6" w:space="0" w:color="auto"/>
              <w:bottom w:val="single" w:sz="6" w:space="0" w:color="auto"/>
              <w:right w:val="single" w:sz="6" w:space="0" w:color="auto"/>
            </w:tcBorders>
            <w:vAlign w:val="center"/>
          </w:tcPr>
          <w:p w14:paraId="4D7E2B7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1035" w:type="dxa"/>
            <w:tcBorders>
              <w:top w:val="single" w:sz="6" w:space="0" w:color="auto"/>
              <w:left w:val="single" w:sz="6" w:space="0" w:color="auto"/>
              <w:bottom w:val="single" w:sz="6" w:space="0" w:color="auto"/>
              <w:right w:val="single" w:sz="6" w:space="0" w:color="auto"/>
            </w:tcBorders>
            <w:vAlign w:val="center"/>
          </w:tcPr>
          <w:p w14:paraId="7C557A9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1701" w:type="dxa"/>
            <w:tcBorders>
              <w:top w:val="single" w:sz="6" w:space="0" w:color="auto"/>
              <w:left w:val="single" w:sz="6" w:space="0" w:color="auto"/>
              <w:bottom w:val="single" w:sz="6" w:space="0" w:color="auto"/>
              <w:right w:val="single" w:sz="6" w:space="0" w:color="auto"/>
            </w:tcBorders>
            <w:vAlign w:val="center"/>
          </w:tcPr>
          <w:p w14:paraId="764E072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1843" w:type="dxa"/>
            <w:tcBorders>
              <w:top w:val="single" w:sz="6" w:space="0" w:color="auto"/>
              <w:left w:val="single" w:sz="6" w:space="0" w:color="auto"/>
              <w:bottom w:val="single" w:sz="6" w:space="0" w:color="auto"/>
              <w:right w:val="single" w:sz="6" w:space="0" w:color="auto"/>
            </w:tcBorders>
            <w:vAlign w:val="center"/>
          </w:tcPr>
          <w:p w14:paraId="2A75DB8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1418" w:type="dxa"/>
            <w:tcBorders>
              <w:top w:val="single" w:sz="6" w:space="0" w:color="auto"/>
              <w:left w:val="single" w:sz="6" w:space="0" w:color="auto"/>
              <w:bottom w:val="single" w:sz="6" w:space="0" w:color="auto"/>
              <w:right w:val="single" w:sz="6" w:space="0" w:color="auto"/>
            </w:tcBorders>
            <w:vAlign w:val="center"/>
          </w:tcPr>
          <w:p w14:paraId="0674B5D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2268" w:type="dxa"/>
            <w:tcBorders>
              <w:top w:val="single" w:sz="6" w:space="0" w:color="auto"/>
              <w:left w:val="single" w:sz="6" w:space="0" w:color="auto"/>
              <w:bottom w:val="single" w:sz="6" w:space="0" w:color="auto"/>
              <w:right w:val="single" w:sz="6" w:space="0" w:color="auto"/>
            </w:tcBorders>
            <w:vAlign w:val="center"/>
          </w:tcPr>
          <w:p w14:paraId="46700DF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2409" w:type="dxa"/>
            <w:tcBorders>
              <w:top w:val="single" w:sz="6" w:space="0" w:color="auto"/>
              <w:left w:val="single" w:sz="6" w:space="0" w:color="auto"/>
              <w:bottom w:val="single" w:sz="6" w:space="0" w:color="auto"/>
              <w:right w:val="single" w:sz="6" w:space="0" w:color="auto"/>
            </w:tcBorders>
            <w:vAlign w:val="center"/>
          </w:tcPr>
          <w:p w14:paraId="53D4539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4176" w:type="dxa"/>
            <w:tcBorders>
              <w:top w:val="single" w:sz="6" w:space="0" w:color="auto"/>
              <w:left w:val="single" w:sz="6" w:space="0" w:color="auto"/>
              <w:bottom w:val="single" w:sz="6" w:space="0" w:color="auto"/>
            </w:tcBorders>
            <w:vAlign w:val="center"/>
          </w:tcPr>
          <w:p w14:paraId="1397645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8</w:t>
            </w:r>
          </w:p>
        </w:tc>
      </w:tr>
      <w:tr w:rsidR="007E7E5D" w:rsidRPr="004229C1" w14:paraId="48E64B50" w14:textId="77777777" w:rsidTr="004A3B2B">
        <w:trPr>
          <w:trHeight w:val="200"/>
        </w:trPr>
        <w:tc>
          <w:tcPr>
            <w:tcW w:w="550" w:type="dxa"/>
            <w:tcBorders>
              <w:top w:val="single" w:sz="6" w:space="0" w:color="auto"/>
              <w:bottom w:val="single" w:sz="6" w:space="0" w:color="auto"/>
              <w:right w:val="single" w:sz="6" w:space="0" w:color="auto"/>
            </w:tcBorders>
          </w:tcPr>
          <w:p w14:paraId="7CCC272D" w14:textId="5FA5401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1035" w:type="dxa"/>
            <w:tcBorders>
              <w:top w:val="single" w:sz="6" w:space="0" w:color="auto"/>
              <w:left w:val="single" w:sz="6" w:space="0" w:color="auto"/>
              <w:bottom w:val="single" w:sz="6" w:space="0" w:color="auto"/>
              <w:right w:val="single" w:sz="6" w:space="0" w:color="auto"/>
            </w:tcBorders>
          </w:tcPr>
          <w:p w14:paraId="36D96E39" w14:textId="7777777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757/63454/19-ц</w:t>
            </w:r>
          </w:p>
          <w:p w14:paraId="2BDCEBE3" w14:textId="4E664318"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03.12.2019</w:t>
            </w:r>
          </w:p>
        </w:tc>
        <w:tc>
          <w:tcPr>
            <w:tcW w:w="1701" w:type="dxa"/>
            <w:tcBorders>
              <w:top w:val="single" w:sz="6" w:space="0" w:color="auto"/>
              <w:left w:val="single" w:sz="6" w:space="0" w:color="auto"/>
              <w:bottom w:val="single" w:sz="6" w:space="0" w:color="auto"/>
              <w:right w:val="single" w:sz="6" w:space="0" w:color="auto"/>
            </w:tcBorders>
          </w:tcPr>
          <w:p w14:paraId="5552324A" w14:textId="6B678904"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Печерський районний суд м. Києва; Київський </w:t>
            </w:r>
            <w:proofErr w:type="spellStart"/>
            <w:r w:rsidRPr="004229C1">
              <w:rPr>
                <w:rFonts w:ascii="Times New Roman" w:hAnsi="Times New Roman" w:cs="Times New Roman"/>
                <w:kern w:val="0"/>
                <w:sz w:val="20"/>
                <w:szCs w:val="20"/>
                <w:lang w:val="uk-UA"/>
              </w:rPr>
              <w:t>апеляцiйний</w:t>
            </w:r>
            <w:proofErr w:type="spellEnd"/>
            <w:r w:rsidRPr="004229C1">
              <w:rPr>
                <w:rFonts w:ascii="Times New Roman" w:hAnsi="Times New Roman" w:cs="Times New Roman"/>
                <w:kern w:val="0"/>
                <w:sz w:val="20"/>
                <w:szCs w:val="20"/>
                <w:lang w:val="uk-UA"/>
              </w:rPr>
              <w:t xml:space="preserve"> суд; Верховний Суд.</w:t>
            </w:r>
          </w:p>
        </w:tc>
        <w:tc>
          <w:tcPr>
            <w:tcW w:w="1843" w:type="dxa"/>
            <w:tcBorders>
              <w:top w:val="single" w:sz="6" w:space="0" w:color="auto"/>
              <w:left w:val="single" w:sz="6" w:space="0" w:color="auto"/>
              <w:bottom w:val="single" w:sz="6" w:space="0" w:color="auto"/>
              <w:right w:val="single" w:sz="6" w:space="0" w:color="auto"/>
            </w:tcBorders>
          </w:tcPr>
          <w:p w14:paraId="4D601E05" w14:textId="6D2B3C92"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Ясюк</w:t>
            </w:r>
            <w:proofErr w:type="spellEnd"/>
            <w:r w:rsidRPr="004229C1">
              <w:rPr>
                <w:rFonts w:ascii="Times New Roman" w:hAnsi="Times New Roman" w:cs="Times New Roman"/>
                <w:kern w:val="0"/>
                <w:sz w:val="20"/>
                <w:szCs w:val="20"/>
                <w:lang w:val="uk-UA"/>
              </w:rPr>
              <w:t xml:space="preserve"> Вадим Миколайович</w:t>
            </w:r>
          </w:p>
        </w:tc>
        <w:tc>
          <w:tcPr>
            <w:tcW w:w="1418" w:type="dxa"/>
            <w:tcBorders>
              <w:top w:val="single" w:sz="6" w:space="0" w:color="auto"/>
              <w:left w:val="single" w:sz="6" w:space="0" w:color="auto"/>
              <w:bottom w:val="single" w:sz="6" w:space="0" w:color="auto"/>
              <w:right w:val="single" w:sz="6" w:space="0" w:color="auto"/>
            </w:tcBorders>
          </w:tcPr>
          <w:p w14:paraId="7B6C772F" w14:textId="0A09F96A"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Акцiонерне</w:t>
            </w:r>
            <w:proofErr w:type="spellEnd"/>
            <w:r w:rsidRPr="004229C1">
              <w:rPr>
                <w:rFonts w:ascii="Times New Roman" w:hAnsi="Times New Roman" w:cs="Times New Roman"/>
                <w:kern w:val="0"/>
                <w:sz w:val="20"/>
                <w:szCs w:val="20"/>
                <w:lang w:val="uk-UA"/>
              </w:rPr>
              <w:t xml:space="preserve"> товариство "ПРАВЕКС БАНК"</w:t>
            </w:r>
          </w:p>
        </w:tc>
        <w:tc>
          <w:tcPr>
            <w:tcW w:w="2268" w:type="dxa"/>
            <w:tcBorders>
              <w:top w:val="single" w:sz="6" w:space="0" w:color="auto"/>
              <w:left w:val="single" w:sz="6" w:space="0" w:color="auto"/>
              <w:bottom w:val="single" w:sz="6" w:space="0" w:color="auto"/>
              <w:right w:val="single" w:sz="6" w:space="0" w:color="auto"/>
            </w:tcBorders>
          </w:tcPr>
          <w:p w14:paraId="0B255052" w14:textId="361A7137"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вiдсутнi</w:t>
            </w:r>
            <w:proofErr w:type="spellEnd"/>
          </w:p>
        </w:tc>
        <w:tc>
          <w:tcPr>
            <w:tcW w:w="2409" w:type="dxa"/>
            <w:tcBorders>
              <w:top w:val="single" w:sz="6" w:space="0" w:color="auto"/>
              <w:left w:val="single" w:sz="6" w:space="0" w:color="auto"/>
              <w:bottom w:val="single" w:sz="6" w:space="0" w:color="auto"/>
              <w:right w:val="single" w:sz="6" w:space="0" w:color="auto"/>
            </w:tcBorders>
          </w:tcPr>
          <w:p w14:paraId="25D272D7" w14:textId="600559C4"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про </w:t>
            </w:r>
            <w:proofErr w:type="spellStart"/>
            <w:r w:rsidRPr="004229C1">
              <w:rPr>
                <w:rFonts w:ascii="Times New Roman" w:hAnsi="Times New Roman" w:cs="Times New Roman"/>
                <w:kern w:val="0"/>
                <w:sz w:val="20"/>
                <w:szCs w:val="20"/>
                <w:lang w:val="uk-UA"/>
              </w:rPr>
              <w:t>вiдшкодування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збиткiв</w:t>
            </w:r>
            <w:proofErr w:type="spellEnd"/>
            <w:r w:rsidRPr="004229C1">
              <w:rPr>
                <w:rFonts w:ascii="Times New Roman" w:hAnsi="Times New Roman" w:cs="Times New Roman"/>
                <w:kern w:val="0"/>
                <w:sz w:val="20"/>
                <w:szCs w:val="20"/>
                <w:lang w:val="uk-UA"/>
              </w:rPr>
              <w:t xml:space="preserve"> в </w:t>
            </w:r>
            <w:proofErr w:type="spellStart"/>
            <w:r w:rsidRPr="004229C1">
              <w:rPr>
                <w:rFonts w:ascii="Times New Roman" w:hAnsi="Times New Roman" w:cs="Times New Roman"/>
                <w:kern w:val="0"/>
                <w:sz w:val="20"/>
                <w:szCs w:val="20"/>
                <w:lang w:val="uk-UA"/>
              </w:rPr>
              <w:t>розмiрi</w:t>
            </w:r>
            <w:proofErr w:type="spellEnd"/>
            <w:r w:rsidRPr="004229C1">
              <w:rPr>
                <w:rFonts w:ascii="Times New Roman" w:hAnsi="Times New Roman" w:cs="Times New Roman"/>
                <w:kern w:val="0"/>
                <w:sz w:val="20"/>
                <w:szCs w:val="20"/>
                <w:lang w:val="uk-UA"/>
              </w:rPr>
              <w:t xml:space="preserve"> 1 780 000 </w:t>
            </w:r>
            <w:proofErr w:type="spellStart"/>
            <w:r w:rsidRPr="004229C1">
              <w:rPr>
                <w:rFonts w:ascii="Times New Roman" w:hAnsi="Times New Roman" w:cs="Times New Roman"/>
                <w:kern w:val="0"/>
                <w:sz w:val="20"/>
                <w:szCs w:val="20"/>
                <w:lang w:val="uk-UA"/>
              </w:rPr>
              <w:t>доларiв</w:t>
            </w:r>
            <w:proofErr w:type="spellEnd"/>
            <w:r w:rsidRPr="004229C1">
              <w:rPr>
                <w:rFonts w:ascii="Times New Roman" w:hAnsi="Times New Roman" w:cs="Times New Roman"/>
                <w:kern w:val="0"/>
                <w:sz w:val="20"/>
                <w:szCs w:val="20"/>
                <w:lang w:val="uk-UA"/>
              </w:rPr>
              <w:t xml:space="preserve"> США, 1 000 000 євро, 230 000 швейцарських </w:t>
            </w:r>
            <w:proofErr w:type="spellStart"/>
            <w:r w:rsidRPr="004229C1">
              <w:rPr>
                <w:rFonts w:ascii="Times New Roman" w:hAnsi="Times New Roman" w:cs="Times New Roman"/>
                <w:kern w:val="0"/>
                <w:sz w:val="20"/>
                <w:szCs w:val="20"/>
                <w:lang w:val="uk-UA"/>
              </w:rPr>
              <w:t>франкiв</w:t>
            </w:r>
            <w:proofErr w:type="spellEnd"/>
            <w:r w:rsidRPr="004229C1">
              <w:rPr>
                <w:rFonts w:ascii="Times New Roman" w:hAnsi="Times New Roman" w:cs="Times New Roman"/>
                <w:kern w:val="0"/>
                <w:sz w:val="20"/>
                <w:szCs w:val="20"/>
                <w:lang w:val="uk-UA"/>
              </w:rPr>
              <w:t xml:space="preserve">,  за договором найму </w:t>
            </w:r>
            <w:proofErr w:type="spellStart"/>
            <w:r w:rsidRPr="004229C1">
              <w:rPr>
                <w:rFonts w:ascii="Times New Roman" w:hAnsi="Times New Roman" w:cs="Times New Roman"/>
                <w:kern w:val="0"/>
                <w:sz w:val="20"/>
                <w:szCs w:val="20"/>
                <w:lang w:val="uk-UA"/>
              </w:rPr>
              <w:t>банкiвського</w:t>
            </w:r>
            <w:proofErr w:type="spellEnd"/>
            <w:r w:rsidRPr="004229C1">
              <w:rPr>
                <w:rFonts w:ascii="Times New Roman" w:hAnsi="Times New Roman" w:cs="Times New Roman"/>
                <w:kern w:val="0"/>
                <w:sz w:val="20"/>
                <w:szCs w:val="20"/>
                <w:lang w:val="uk-UA"/>
              </w:rPr>
              <w:t xml:space="preserve"> сейфа, що не охороняється банком. </w:t>
            </w:r>
          </w:p>
        </w:tc>
        <w:tc>
          <w:tcPr>
            <w:tcW w:w="4176" w:type="dxa"/>
            <w:tcBorders>
              <w:top w:val="single" w:sz="6" w:space="0" w:color="auto"/>
              <w:left w:val="single" w:sz="6" w:space="0" w:color="auto"/>
              <w:bottom w:val="single" w:sz="6" w:space="0" w:color="auto"/>
            </w:tcBorders>
          </w:tcPr>
          <w:p w14:paraId="158C780D" w14:textId="7C3EA81B" w:rsidR="007E7E5D" w:rsidRPr="004229C1" w:rsidRDefault="007E7E5D" w:rsidP="007E7E5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23.10.2023 позивачем подано </w:t>
            </w:r>
            <w:proofErr w:type="spellStart"/>
            <w:r w:rsidRPr="004229C1">
              <w:rPr>
                <w:rFonts w:ascii="Times New Roman" w:hAnsi="Times New Roman" w:cs="Times New Roman"/>
                <w:kern w:val="0"/>
                <w:sz w:val="20"/>
                <w:szCs w:val="20"/>
                <w:lang w:val="uk-UA"/>
              </w:rPr>
              <w:t>касацiйну</w:t>
            </w:r>
            <w:proofErr w:type="spellEnd"/>
            <w:r w:rsidRPr="004229C1">
              <w:rPr>
                <w:rFonts w:ascii="Times New Roman" w:hAnsi="Times New Roman" w:cs="Times New Roman"/>
                <w:kern w:val="0"/>
                <w:sz w:val="20"/>
                <w:szCs w:val="20"/>
                <w:lang w:val="uk-UA"/>
              </w:rPr>
              <w:t xml:space="preserve"> скаргу. Справа знаходиться на </w:t>
            </w:r>
            <w:proofErr w:type="spellStart"/>
            <w:r w:rsidRPr="004229C1">
              <w:rPr>
                <w:rFonts w:ascii="Times New Roman" w:hAnsi="Times New Roman" w:cs="Times New Roman"/>
                <w:kern w:val="0"/>
                <w:sz w:val="20"/>
                <w:szCs w:val="20"/>
                <w:lang w:val="uk-UA"/>
              </w:rPr>
              <w:t>розглядi</w:t>
            </w:r>
            <w:proofErr w:type="spellEnd"/>
            <w:r w:rsidRPr="004229C1">
              <w:rPr>
                <w:rFonts w:ascii="Times New Roman" w:hAnsi="Times New Roman" w:cs="Times New Roman"/>
                <w:kern w:val="0"/>
                <w:sz w:val="20"/>
                <w:szCs w:val="20"/>
                <w:lang w:val="uk-UA"/>
              </w:rPr>
              <w:t xml:space="preserve"> у Верховному </w:t>
            </w:r>
            <w:proofErr w:type="spellStart"/>
            <w:r w:rsidRPr="004229C1">
              <w:rPr>
                <w:rFonts w:ascii="Times New Roman" w:hAnsi="Times New Roman" w:cs="Times New Roman"/>
                <w:kern w:val="0"/>
                <w:sz w:val="20"/>
                <w:szCs w:val="20"/>
                <w:lang w:val="uk-UA"/>
              </w:rPr>
              <w:t>Судi</w:t>
            </w:r>
            <w:proofErr w:type="spellEnd"/>
            <w:r w:rsidRPr="004229C1">
              <w:rPr>
                <w:rFonts w:ascii="Times New Roman" w:hAnsi="Times New Roman" w:cs="Times New Roman"/>
                <w:kern w:val="0"/>
                <w:sz w:val="20"/>
                <w:szCs w:val="20"/>
                <w:lang w:val="uk-UA"/>
              </w:rPr>
              <w:t>.</w:t>
            </w:r>
          </w:p>
        </w:tc>
      </w:tr>
    </w:tbl>
    <w:p w14:paraId="45E40591"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pPr>
    </w:p>
    <w:p w14:paraId="1AAFBBD9" w14:textId="77777777" w:rsidR="007E7E5D" w:rsidRPr="004229C1" w:rsidRDefault="007E7E5D" w:rsidP="007E7E5D">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Штрафні санкції щодо особи:</w:t>
      </w:r>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7E7E5D" w:rsidRPr="004229C1" w14:paraId="19506BD9" w14:textId="77777777" w:rsidTr="005E6C62">
        <w:trPr>
          <w:trHeight w:val="300"/>
        </w:trPr>
        <w:tc>
          <w:tcPr>
            <w:tcW w:w="550" w:type="dxa"/>
            <w:tcBorders>
              <w:top w:val="single" w:sz="6" w:space="0" w:color="auto"/>
              <w:bottom w:val="single" w:sz="6" w:space="0" w:color="auto"/>
              <w:right w:val="single" w:sz="6" w:space="0" w:color="auto"/>
            </w:tcBorders>
            <w:vAlign w:val="center"/>
          </w:tcPr>
          <w:p w14:paraId="62C63551"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68F85B2F"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1ACF1675"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159D4E10"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4EC88132"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7D113CA4"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Інформація про виконання</w:t>
            </w:r>
          </w:p>
        </w:tc>
      </w:tr>
      <w:tr w:rsidR="007E7E5D" w:rsidRPr="004229C1" w14:paraId="5BF2816E" w14:textId="77777777" w:rsidTr="005E6C62">
        <w:trPr>
          <w:trHeight w:val="300"/>
        </w:trPr>
        <w:tc>
          <w:tcPr>
            <w:tcW w:w="550" w:type="dxa"/>
            <w:tcBorders>
              <w:top w:val="single" w:sz="6" w:space="0" w:color="auto"/>
              <w:bottom w:val="single" w:sz="6" w:space="0" w:color="auto"/>
              <w:right w:val="single" w:sz="6" w:space="0" w:color="auto"/>
            </w:tcBorders>
            <w:vAlign w:val="center"/>
          </w:tcPr>
          <w:p w14:paraId="3D461882"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200" w:type="dxa"/>
            <w:tcBorders>
              <w:top w:val="single" w:sz="6" w:space="0" w:color="auto"/>
              <w:left w:val="single" w:sz="6" w:space="0" w:color="auto"/>
              <w:bottom w:val="single" w:sz="6" w:space="0" w:color="auto"/>
              <w:right w:val="single" w:sz="6" w:space="0" w:color="auto"/>
            </w:tcBorders>
            <w:vAlign w:val="center"/>
          </w:tcPr>
          <w:p w14:paraId="4527014D"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200" w:type="dxa"/>
            <w:tcBorders>
              <w:top w:val="single" w:sz="6" w:space="0" w:color="auto"/>
              <w:left w:val="single" w:sz="6" w:space="0" w:color="auto"/>
              <w:bottom w:val="single" w:sz="6" w:space="0" w:color="auto"/>
              <w:right w:val="single" w:sz="6" w:space="0" w:color="auto"/>
            </w:tcBorders>
            <w:vAlign w:val="center"/>
          </w:tcPr>
          <w:p w14:paraId="0469CB28"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2200" w:type="dxa"/>
            <w:tcBorders>
              <w:top w:val="single" w:sz="6" w:space="0" w:color="auto"/>
              <w:left w:val="single" w:sz="6" w:space="0" w:color="auto"/>
              <w:bottom w:val="single" w:sz="6" w:space="0" w:color="auto"/>
              <w:right w:val="single" w:sz="6" w:space="0" w:color="auto"/>
            </w:tcBorders>
            <w:vAlign w:val="center"/>
          </w:tcPr>
          <w:p w14:paraId="69A36B63"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4400" w:type="dxa"/>
            <w:tcBorders>
              <w:top w:val="single" w:sz="6" w:space="0" w:color="auto"/>
              <w:left w:val="single" w:sz="6" w:space="0" w:color="auto"/>
              <w:bottom w:val="single" w:sz="6" w:space="0" w:color="auto"/>
              <w:right w:val="single" w:sz="6" w:space="0" w:color="auto"/>
            </w:tcBorders>
            <w:vAlign w:val="center"/>
          </w:tcPr>
          <w:p w14:paraId="3D5B9519"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3850" w:type="dxa"/>
            <w:tcBorders>
              <w:top w:val="single" w:sz="6" w:space="0" w:color="auto"/>
              <w:left w:val="single" w:sz="6" w:space="0" w:color="auto"/>
              <w:bottom w:val="single" w:sz="6" w:space="0" w:color="auto"/>
            </w:tcBorders>
            <w:vAlign w:val="center"/>
          </w:tcPr>
          <w:p w14:paraId="7D73BBA4" w14:textId="77777777" w:rsidR="007E7E5D" w:rsidRPr="004229C1" w:rsidRDefault="007E7E5D"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r>
      <w:tr w:rsidR="005E6C62" w:rsidRPr="004229C1" w14:paraId="1D64506E" w14:textId="77777777" w:rsidTr="005E6C62">
        <w:trPr>
          <w:trHeight w:val="300"/>
        </w:trPr>
        <w:tc>
          <w:tcPr>
            <w:tcW w:w="550" w:type="dxa"/>
            <w:tcBorders>
              <w:top w:val="single" w:sz="6" w:space="0" w:color="auto"/>
              <w:bottom w:val="single" w:sz="6" w:space="0" w:color="auto"/>
              <w:right w:val="single" w:sz="6" w:space="0" w:color="auto"/>
            </w:tcBorders>
          </w:tcPr>
          <w:p w14:paraId="015C46BC" w14:textId="42A845D4" w:rsidR="005E6C62" w:rsidRPr="004229C1" w:rsidRDefault="00867E0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200" w:type="dxa"/>
            <w:tcBorders>
              <w:top w:val="single" w:sz="6" w:space="0" w:color="auto"/>
              <w:left w:val="single" w:sz="6" w:space="0" w:color="auto"/>
              <w:bottom w:val="single" w:sz="6" w:space="0" w:color="auto"/>
              <w:right w:val="single" w:sz="6" w:space="0" w:color="auto"/>
            </w:tcBorders>
          </w:tcPr>
          <w:p w14:paraId="4C1251BE" w14:textId="45F77316"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Акт </w:t>
            </w:r>
            <w:proofErr w:type="spellStart"/>
            <w:r w:rsidRPr="004229C1">
              <w:rPr>
                <w:rFonts w:ascii="Times New Roman" w:hAnsi="Times New Roman" w:cs="Times New Roman"/>
                <w:kern w:val="0"/>
                <w:sz w:val="20"/>
                <w:szCs w:val="20"/>
                <w:lang w:val="uk-UA"/>
              </w:rPr>
              <w:t>перевiрки</w:t>
            </w:r>
            <w:proofErr w:type="spellEnd"/>
            <w:r w:rsidRPr="004229C1">
              <w:rPr>
                <w:rFonts w:ascii="Times New Roman" w:hAnsi="Times New Roman" w:cs="Times New Roman"/>
                <w:kern w:val="0"/>
                <w:sz w:val="20"/>
                <w:szCs w:val="20"/>
                <w:lang w:val="uk-UA"/>
              </w:rPr>
              <w:t xml:space="preserve"> №83033/ж5/26-15-04-13-03/14360920</w:t>
            </w:r>
          </w:p>
          <w:p w14:paraId="75D6CFBF" w14:textId="4106EF14"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05.07.2024</w:t>
            </w:r>
          </w:p>
        </w:tc>
        <w:tc>
          <w:tcPr>
            <w:tcW w:w="2200" w:type="dxa"/>
            <w:tcBorders>
              <w:top w:val="single" w:sz="6" w:space="0" w:color="auto"/>
              <w:left w:val="single" w:sz="6" w:space="0" w:color="auto"/>
              <w:bottom w:val="single" w:sz="6" w:space="0" w:color="auto"/>
              <w:right w:val="single" w:sz="6" w:space="0" w:color="auto"/>
            </w:tcBorders>
          </w:tcPr>
          <w:p w14:paraId="4CECC301" w14:textId="2825D1F8"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Головне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ДПС у </w:t>
            </w:r>
            <w:proofErr w:type="spellStart"/>
            <w:r w:rsidRPr="004229C1">
              <w:rPr>
                <w:rFonts w:ascii="Times New Roman" w:hAnsi="Times New Roman" w:cs="Times New Roman"/>
                <w:kern w:val="0"/>
                <w:sz w:val="20"/>
                <w:szCs w:val="20"/>
                <w:lang w:val="uk-UA"/>
              </w:rPr>
              <w:t>м.Києвi</w:t>
            </w:r>
            <w:proofErr w:type="spellEnd"/>
          </w:p>
        </w:tc>
        <w:tc>
          <w:tcPr>
            <w:tcW w:w="2200" w:type="dxa"/>
            <w:tcBorders>
              <w:top w:val="single" w:sz="6" w:space="0" w:color="auto"/>
              <w:left w:val="single" w:sz="6" w:space="0" w:color="auto"/>
              <w:bottom w:val="single" w:sz="6" w:space="0" w:color="auto"/>
              <w:right w:val="single" w:sz="6" w:space="0" w:color="auto"/>
            </w:tcBorders>
          </w:tcPr>
          <w:p w14:paraId="3201D781" w14:textId="74597D38"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Порушення </w:t>
            </w:r>
            <w:proofErr w:type="spellStart"/>
            <w:r w:rsidRPr="004229C1">
              <w:rPr>
                <w:rFonts w:ascii="Times New Roman" w:hAnsi="Times New Roman" w:cs="Times New Roman"/>
                <w:kern w:val="0"/>
                <w:sz w:val="20"/>
                <w:szCs w:val="20"/>
                <w:lang w:val="uk-UA"/>
              </w:rPr>
              <w:t>строкiв</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реєстрацiї</w:t>
            </w:r>
            <w:proofErr w:type="spellEnd"/>
            <w:r w:rsidRPr="004229C1">
              <w:rPr>
                <w:rFonts w:ascii="Times New Roman" w:hAnsi="Times New Roman" w:cs="Times New Roman"/>
                <w:kern w:val="0"/>
                <w:sz w:val="20"/>
                <w:szCs w:val="20"/>
                <w:lang w:val="uk-UA"/>
              </w:rPr>
              <w:t xml:space="preserve"> розрахунку коригування в Єдиному </w:t>
            </w:r>
            <w:proofErr w:type="spellStart"/>
            <w:r w:rsidRPr="004229C1">
              <w:rPr>
                <w:rFonts w:ascii="Times New Roman" w:hAnsi="Times New Roman" w:cs="Times New Roman"/>
                <w:kern w:val="0"/>
                <w:sz w:val="20"/>
                <w:szCs w:val="20"/>
                <w:lang w:val="uk-UA"/>
              </w:rPr>
              <w:t>реєстрi</w:t>
            </w:r>
            <w:proofErr w:type="spellEnd"/>
            <w:r w:rsidRPr="004229C1">
              <w:rPr>
                <w:rFonts w:ascii="Times New Roman" w:hAnsi="Times New Roman" w:cs="Times New Roman"/>
                <w:kern w:val="0"/>
                <w:sz w:val="20"/>
                <w:szCs w:val="20"/>
                <w:lang w:val="uk-UA"/>
              </w:rPr>
              <w:t xml:space="preserve"> податкових накладних 2 985,29 грн</w:t>
            </w:r>
          </w:p>
        </w:tc>
        <w:tc>
          <w:tcPr>
            <w:tcW w:w="4400" w:type="dxa"/>
            <w:tcBorders>
              <w:top w:val="single" w:sz="6" w:space="0" w:color="auto"/>
              <w:left w:val="single" w:sz="6" w:space="0" w:color="auto"/>
              <w:bottom w:val="single" w:sz="6" w:space="0" w:color="auto"/>
              <w:right w:val="single" w:sz="6" w:space="0" w:color="auto"/>
            </w:tcBorders>
          </w:tcPr>
          <w:p w14:paraId="0BB5370C" w14:textId="75A9E6E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Стаття 120-1 ПКУ </w:t>
            </w:r>
          </w:p>
        </w:tc>
        <w:tc>
          <w:tcPr>
            <w:tcW w:w="3850" w:type="dxa"/>
            <w:tcBorders>
              <w:top w:val="single" w:sz="6" w:space="0" w:color="auto"/>
              <w:left w:val="single" w:sz="6" w:space="0" w:color="auto"/>
              <w:bottom w:val="single" w:sz="6" w:space="0" w:color="auto"/>
            </w:tcBorders>
          </w:tcPr>
          <w:p w14:paraId="420D9044" w14:textId="59CF02C3"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Штраф сплачено у </w:t>
            </w:r>
            <w:proofErr w:type="spellStart"/>
            <w:r w:rsidRPr="004229C1">
              <w:rPr>
                <w:rFonts w:ascii="Times New Roman" w:hAnsi="Times New Roman" w:cs="Times New Roman"/>
                <w:kern w:val="0"/>
                <w:sz w:val="20"/>
                <w:szCs w:val="20"/>
                <w:lang w:val="uk-UA"/>
              </w:rPr>
              <w:t>вiдповiднi</w:t>
            </w:r>
            <w:proofErr w:type="spellEnd"/>
            <w:r w:rsidRPr="004229C1">
              <w:rPr>
                <w:rFonts w:ascii="Times New Roman" w:hAnsi="Times New Roman" w:cs="Times New Roman"/>
                <w:kern w:val="0"/>
                <w:sz w:val="20"/>
                <w:szCs w:val="20"/>
                <w:lang w:val="uk-UA"/>
              </w:rPr>
              <w:t xml:space="preserve"> строки</w:t>
            </w:r>
          </w:p>
        </w:tc>
      </w:tr>
    </w:tbl>
    <w:p w14:paraId="57B66CC8"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sectPr w:rsidR="007469BF" w:rsidRPr="004229C1">
          <w:pgSz w:w="16837" w:h="11905" w:orient="landscape"/>
          <w:pgMar w:top="570" w:right="720" w:bottom="570" w:left="720" w:header="720" w:footer="720" w:gutter="0"/>
          <w:cols w:space="720"/>
          <w:noEndnote/>
        </w:sectPr>
      </w:pPr>
    </w:p>
    <w:p w14:paraId="0C781E15" w14:textId="77777777" w:rsidR="007469BF" w:rsidRPr="004229C1" w:rsidRDefault="000B08A7" w:rsidP="00394FCC">
      <w:pPr>
        <w:pStyle w:val="Heading2"/>
        <w:rPr>
          <w:rFonts w:cs="Times New Roman"/>
          <w:lang w:val="uk-UA"/>
        </w:rPr>
      </w:pPr>
      <w:bookmarkStart w:id="2" w:name="_Toc200057384"/>
      <w:r w:rsidRPr="004229C1">
        <w:rPr>
          <w:rFonts w:cs="Times New Roman"/>
          <w:lang w:val="uk-UA"/>
        </w:rPr>
        <w:t>2. Органи управління та посадові особи. Організаційна структура</w:t>
      </w:r>
      <w:bookmarkEnd w:id="2"/>
    </w:p>
    <w:p w14:paraId="7726D4E8"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7469BF" w:rsidRPr="004229C1" w14:paraId="2F77130E" w14:textId="77777777">
        <w:trPr>
          <w:trHeight w:val="200"/>
        </w:trPr>
        <w:tc>
          <w:tcPr>
            <w:tcW w:w="550" w:type="dxa"/>
            <w:tcBorders>
              <w:top w:val="single" w:sz="6" w:space="0" w:color="auto"/>
              <w:bottom w:val="single" w:sz="6" w:space="0" w:color="auto"/>
              <w:right w:val="single" w:sz="6" w:space="0" w:color="auto"/>
            </w:tcBorders>
            <w:vAlign w:val="center"/>
          </w:tcPr>
          <w:p w14:paraId="27C2BAD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7486E65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763F1A0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6DD56B0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Персональний склад органу управління (контролю)</w:t>
            </w:r>
          </w:p>
        </w:tc>
      </w:tr>
      <w:tr w:rsidR="007469BF" w:rsidRPr="004229C1" w14:paraId="3EBB5AA4" w14:textId="77777777">
        <w:trPr>
          <w:trHeight w:val="200"/>
        </w:trPr>
        <w:tc>
          <w:tcPr>
            <w:tcW w:w="550" w:type="dxa"/>
            <w:tcBorders>
              <w:top w:val="single" w:sz="6" w:space="0" w:color="auto"/>
              <w:bottom w:val="single" w:sz="6" w:space="0" w:color="auto"/>
              <w:right w:val="single" w:sz="6" w:space="0" w:color="auto"/>
            </w:tcBorders>
            <w:vAlign w:val="center"/>
          </w:tcPr>
          <w:p w14:paraId="0622C62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450" w:type="dxa"/>
            <w:tcBorders>
              <w:top w:val="single" w:sz="6" w:space="0" w:color="auto"/>
              <w:left w:val="single" w:sz="6" w:space="0" w:color="auto"/>
              <w:bottom w:val="single" w:sz="6" w:space="0" w:color="auto"/>
              <w:right w:val="single" w:sz="6" w:space="0" w:color="auto"/>
            </w:tcBorders>
            <w:vAlign w:val="center"/>
          </w:tcPr>
          <w:p w14:paraId="7F184CE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4000" w:type="dxa"/>
            <w:tcBorders>
              <w:top w:val="single" w:sz="6" w:space="0" w:color="auto"/>
              <w:left w:val="single" w:sz="6" w:space="0" w:color="auto"/>
              <w:bottom w:val="single" w:sz="6" w:space="0" w:color="auto"/>
              <w:right w:val="single" w:sz="6" w:space="0" w:color="auto"/>
            </w:tcBorders>
            <w:vAlign w:val="center"/>
          </w:tcPr>
          <w:p w14:paraId="624B6DD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4000" w:type="dxa"/>
            <w:tcBorders>
              <w:top w:val="single" w:sz="6" w:space="0" w:color="auto"/>
              <w:left w:val="single" w:sz="6" w:space="0" w:color="auto"/>
              <w:bottom w:val="single" w:sz="6" w:space="0" w:color="auto"/>
            </w:tcBorders>
            <w:vAlign w:val="center"/>
          </w:tcPr>
          <w:p w14:paraId="02C0EFC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r>
      <w:tr w:rsidR="005E6C62" w:rsidRPr="004229C1" w14:paraId="6764864B" w14:textId="77777777">
        <w:trPr>
          <w:trHeight w:val="200"/>
        </w:trPr>
        <w:tc>
          <w:tcPr>
            <w:tcW w:w="550" w:type="dxa"/>
            <w:tcBorders>
              <w:top w:val="single" w:sz="6" w:space="0" w:color="auto"/>
              <w:bottom w:val="single" w:sz="6" w:space="0" w:color="auto"/>
              <w:right w:val="single" w:sz="6" w:space="0" w:color="auto"/>
            </w:tcBorders>
          </w:tcPr>
          <w:p w14:paraId="34912C02" w14:textId="74202A5A"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450" w:type="dxa"/>
            <w:tcBorders>
              <w:top w:val="single" w:sz="6" w:space="0" w:color="auto"/>
              <w:left w:val="single" w:sz="6" w:space="0" w:color="auto"/>
              <w:bottom w:val="single" w:sz="6" w:space="0" w:color="auto"/>
              <w:right w:val="single" w:sz="6" w:space="0" w:color="auto"/>
            </w:tcBorders>
          </w:tcPr>
          <w:p w14:paraId="40521ED2" w14:textId="2451111D"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Загальнi</w:t>
            </w:r>
            <w:proofErr w:type="spellEnd"/>
            <w:r w:rsidRPr="004229C1">
              <w:rPr>
                <w:rFonts w:ascii="Times New Roman" w:hAnsi="Times New Roman" w:cs="Times New Roman"/>
                <w:kern w:val="0"/>
                <w:sz w:val="22"/>
                <w:szCs w:val="22"/>
                <w:lang w:val="uk-UA"/>
              </w:rPr>
              <w:t xml:space="preserve"> збори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xml:space="preserve"> Банку</w:t>
            </w:r>
          </w:p>
        </w:tc>
        <w:tc>
          <w:tcPr>
            <w:tcW w:w="4000" w:type="dxa"/>
            <w:tcBorders>
              <w:top w:val="single" w:sz="6" w:space="0" w:color="auto"/>
              <w:left w:val="single" w:sz="6" w:space="0" w:color="auto"/>
              <w:bottom w:val="single" w:sz="6" w:space="0" w:color="auto"/>
              <w:right w:val="single" w:sz="6" w:space="0" w:color="auto"/>
            </w:tcBorders>
          </w:tcPr>
          <w:p w14:paraId="29752CD1" w14:textId="0819AD26"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одному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С.п.А</w:t>
            </w:r>
            <w:proofErr w:type="spellEnd"/>
            <w:r w:rsidRPr="004229C1">
              <w:rPr>
                <w:rFonts w:ascii="Times New Roman" w:hAnsi="Times New Roman" w:cs="Times New Roman"/>
                <w:kern w:val="0"/>
                <w:sz w:val="22"/>
                <w:szCs w:val="22"/>
                <w:lang w:val="uk-UA"/>
              </w:rPr>
              <w:t>.</w:t>
            </w:r>
          </w:p>
        </w:tc>
        <w:tc>
          <w:tcPr>
            <w:tcW w:w="4000" w:type="dxa"/>
            <w:tcBorders>
              <w:top w:val="single" w:sz="6" w:space="0" w:color="auto"/>
              <w:left w:val="single" w:sz="6" w:space="0" w:color="auto"/>
              <w:bottom w:val="single" w:sz="6" w:space="0" w:color="auto"/>
            </w:tcBorders>
          </w:tcPr>
          <w:p w14:paraId="0F450F31" w14:textId="0F3BC69E"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одному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С.п.А</w:t>
            </w:r>
            <w:proofErr w:type="spellEnd"/>
            <w:r w:rsidRPr="004229C1">
              <w:rPr>
                <w:rFonts w:ascii="Times New Roman" w:hAnsi="Times New Roman" w:cs="Times New Roman"/>
                <w:kern w:val="0"/>
                <w:sz w:val="22"/>
                <w:szCs w:val="22"/>
                <w:lang w:val="uk-UA"/>
              </w:rPr>
              <w:t>.</w:t>
            </w:r>
          </w:p>
        </w:tc>
      </w:tr>
      <w:tr w:rsidR="005E6C62" w:rsidRPr="004229C1" w14:paraId="7F347F70" w14:textId="77777777">
        <w:trPr>
          <w:trHeight w:val="200"/>
        </w:trPr>
        <w:tc>
          <w:tcPr>
            <w:tcW w:w="550" w:type="dxa"/>
            <w:tcBorders>
              <w:top w:val="single" w:sz="6" w:space="0" w:color="auto"/>
              <w:bottom w:val="single" w:sz="6" w:space="0" w:color="auto"/>
              <w:right w:val="single" w:sz="6" w:space="0" w:color="auto"/>
            </w:tcBorders>
          </w:tcPr>
          <w:p w14:paraId="1680CDA1" w14:textId="2E8B1B81"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1450" w:type="dxa"/>
            <w:tcBorders>
              <w:top w:val="single" w:sz="6" w:space="0" w:color="auto"/>
              <w:left w:val="single" w:sz="6" w:space="0" w:color="auto"/>
              <w:bottom w:val="single" w:sz="6" w:space="0" w:color="auto"/>
              <w:right w:val="single" w:sz="6" w:space="0" w:color="auto"/>
            </w:tcBorders>
          </w:tcPr>
          <w:p w14:paraId="665D5FEB" w14:textId="1FFEE921"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Наглядова Рада Банку</w:t>
            </w:r>
          </w:p>
        </w:tc>
        <w:tc>
          <w:tcPr>
            <w:tcW w:w="4000" w:type="dxa"/>
            <w:tcBorders>
              <w:top w:val="single" w:sz="6" w:space="0" w:color="auto"/>
              <w:left w:val="single" w:sz="6" w:space="0" w:color="auto"/>
              <w:bottom w:val="single" w:sz="6" w:space="0" w:color="auto"/>
              <w:right w:val="single" w:sz="6" w:space="0" w:color="auto"/>
            </w:tcBorders>
          </w:tcPr>
          <w:p w14:paraId="37FE7F97"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Наглядова Рада Банку обирається Загальними Зборами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xml:space="preserve"> з числа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xml:space="preserve"> Банку, їх </w:t>
            </w:r>
            <w:proofErr w:type="spellStart"/>
            <w:r w:rsidRPr="004229C1">
              <w:rPr>
                <w:rFonts w:ascii="Times New Roman" w:hAnsi="Times New Roman" w:cs="Times New Roman"/>
                <w:kern w:val="0"/>
                <w:sz w:val="22"/>
                <w:szCs w:val="22"/>
                <w:lang w:val="uk-UA"/>
              </w:rPr>
              <w:t>представникiв</w:t>
            </w:r>
            <w:proofErr w:type="spellEnd"/>
            <w:r w:rsidRPr="004229C1">
              <w:rPr>
                <w:rFonts w:ascii="Times New Roman" w:hAnsi="Times New Roman" w:cs="Times New Roman"/>
                <w:kern w:val="0"/>
                <w:sz w:val="22"/>
                <w:szCs w:val="22"/>
                <w:lang w:val="uk-UA"/>
              </w:rPr>
              <w:t xml:space="preserve"> та незалежних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(незалежних </w:t>
            </w:r>
            <w:proofErr w:type="spellStart"/>
            <w:r w:rsidRPr="004229C1">
              <w:rPr>
                <w:rFonts w:ascii="Times New Roman" w:hAnsi="Times New Roman" w:cs="Times New Roman"/>
                <w:kern w:val="0"/>
                <w:sz w:val="22"/>
                <w:szCs w:val="22"/>
                <w:lang w:val="uk-UA"/>
              </w:rPr>
              <w:t>директорiв</w:t>
            </w:r>
            <w:proofErr w:type="spellEnd"/>
            <w:r w:rsidRPr="004229C1">
              <w:rPr>
                <w:rFonts w:ascii="Times New Roman" w:hAnsi="Times New Roman" w:cs="Times New Roman"/>
                <w:kern w:val="0"/>
                <w:sz w:val="22"/>
                <w:szCs w:val="22"/>
                <w:lang w:val="uk-UA"/>
              </w:rPr>
              <w:t xml:space="preserve">). Членами Наглядової Ради є Голова Наглядової Ради, Заступник Голови Наглядової Ради та </w:t>
            </w:r>
            <w:proofErr w:type="spellStart"/>
            <w:r w:rsidRPr="004229C1">
              <w:rPr>
                <w:rFonts w:ascii="Times New Roman" w:hAnsi="Times New Roman" w:cs="Times New Roman"/>
                <w:kern w:val="0"/>
                <w:sz w:val="22"/>
                <w:szCs w:val="22"/>
                <w:lang w:val="uk-UA"/>
              </w:rPr>
              <w:t>iншi</w:t>
            </w:r>
            <w:proofErr w:type="spellEnd"/>
            <w:r w:rsidRPr="004229C1">
              <w:rPr>
                <w:rFonts w:ascii="Times New Roman" w:hAnsi="Times New Roman" w:cs="Times New Roman"/>
                <w:kern w:val="0"/>
                <w:sz w:val="22"/>
                <w:szCs w:val="22"/>
                <w:lang w:val="uk-UA"/>
              </w:rPr>
              <w:t xml:space="preserve"> члени Наглядової Ради. Голова i Заступник Голови Наглядової Ради обираються членами Наглядової Ради з їх числа.</w:t>
            </w:r>
          </w:p>
          <w:p w14:paraId="3971A770"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58313686"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Наглядова Рада складається щонайменше з 5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i обирається на строк не </w:t>
            </w:r>
            <w:proofErr w:type="spellStart"/>
            <w:r w:rsidRPr="004229C1">
              <w:rPr>
                <w:rFonts w:ascii="Times New Roman" w:hAnsi="Times New Roman" w:cs="Times New Roman"/>
                <w:kern w:val="0"/>
                <w:sz w:val="22"/>
                <w:szCs w:val="22"/>
                <w:lang w:val="uk-UA"/>
              </w:rPr>
              <w:t>бiльше</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нiж</w:t>
            </w:r>
            <w:proofErr w:type="spellEnd"/>
            <w:r w:rsidRPr="004229C1">
              <w:rPr>
                <w:rFonts w:ascii="Times New Roman" w:hAnsi="Times New Roman" w:cs="Times New Roman"/>
                <w:kern w:val="0"/>
                <w:sz w:val="22"/>
                <w:szCs w:val="22"/>
                <w:lang w:val="uk-UA"/>
              </w:rPr>
              <w:t xml:space="preserve"> 3 роки. Наглядова Рада не менш як на одну третину має складатися з незалежних </w:t>
            </w:r>
            <w:proofErr w:type="spellStart"/>
            <w:r w:rsidRPr="004229C1">
              <w:rPr>
                <w:rFonts w:ascii="Times New Roman" w:hAnsi="Times New Roman" w:cs="Times New Roman"/>
                <w:kern w:val="0"/>
                <w:sz w:val="22"/>
                <w:szCs w:val="22"/>
                <w:lang w:val="uk-UA"/>
              </w:rPr>
              <w:t>директорiв</w:t>
            </w:r>
            <w:proofErr w:type="spellEnd"/>
            <w:r w:rsidRPr="004229C1">
              <w:rPr>
                <w:rFonts w:ascii="Times New Roman" w:hAnsi="Times New Roman" w:cs="Times New Roman"/>
                <w:kern w:val="0"/>
                <w:sz w:val="22"/>
                <w:szCs w:val="22"/>
                <w:lang w:val="uk-UA"/>
              </w:rPr>
              <w:t xml:space="preserve">, але в будь-якому випадку </w:t>
            </w:r>
            <w:proofErr w:type="spellStart"/>
            <w:r w:rsidRPr="004229C1">
              <w:rPr>
                <w:rFonts w:ascii="Times New Roman" w:hAnsi="Times New Roman" w:cs="Times New Roman"/>
                <w:kern w:val="0"/>
                <w:sz w:val="22"/>
                <w:szCs w:val="22"/>
                <w:lang w:val="uk-UA"/>
              </w:rPr>
              <w:t>кiлькiсть</w:t>
            </w:r>
            <w:proofErr w:type="spellEnd"/>
            <w:r w:rsidRPr="004229C1">
              <w:rPr>
                <w:rFonts w:ascii="Times New Roman" w:hAnsi="Times New Roman" w:cs="Times New Roman"/>
                <w:kern w:val="0"/>
                <w:sz w:val="22"/>
                <w:szCs w:val="22"/>
                <w:lang w:val="uk-UA"/>
              </w:rPr>
              <w:t xml:space="preserve"> незалежних </w:t>
            </w:r>
            <w:proofErr w:type="spellStart"/>
            <w:r w:rsidRPr="004229C1">
              <w:rPr>
                <w:rFonts w:ascii="Times New Roman" w:hAnsi="Times New Roman" w:cs="Times New Roman"/>
                <w:kern w:val="0"/>
                <w:sz w:val="22"/>
                <w:szCs w:val="22"/>
                <w:lang w:val="uk-UA"/>
              </w:rPr>
              <w:t>директорiв</w:t>
            </w:r>
            <w:proofErr w:type="spellEnd"/>
            <w:r w:rsidRPr="004229C1">
              <w:rPr>
                <w:rFonts w:ascii="Times New Roman" w:hAnsi="Times New Roman" w:cs="Times New Roman"/>
                <w:kern w:val="0"/>
                <w:sz w:val="22"/>
                <w:szCs w:val="22"/>
                <w:lang w:val="uk-UA"/>
              </w:rPr>
              <w:t xml:space="preserve"> не може становити менше 3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w:t>
            </w:r>
          </w:p>
          <w:p w14:paraId="73058D6A"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370F1A70"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Станом на 31.12.2024 року Наглядова Рада Банку складається з 7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 Голови (представник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Заступника Голови (незалежний директор), 2 члени-</w:t>
            </w:r>
            <w:proofErr w:type="spellStart"/>
            <w:r w:rsidRPr="004229C1">
              <w:rPr>
                <w:rFonts w:ascii="Times New Roman" w:hAnsi="Times New Roman" w:cs="Times New Roman"/>
                <w:kern w:val="0"/>
                <w:sz w:val="22"/>
                <w:szCs w:val="22"/>
                <w:lang w:val="uk-UA"/>
              </w:rPr>
              <w:t>незалежнi</w:t>
            </w:r>
            <w:proofErr w:type="spellEnd"/>
            <w:r w:rsidRPr="004229C1">
              <w:rPr>
                <w:rFonts w:ascii="Times New Roman" w:hAnsi="Times New Roman" w:cs="Times New Roman"/>
                <w:kern w:val="0"/>
                <w:sz w:val="22"/>
                <w:szCs w:val="22"/>
                <w:lang w:val="uk-UA"/>
              </w:rPr>
              <w:t xml:space="preserve"> директори, 3 члени-представники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p w14:paraId="2735B0AF" w14:textId="11424FDD"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c>
          <w:tcPr>
            <w:tcW w:w="4000" w:type="dxa"/>
            <w:tcBorders>
              <w:top w:val="single" w:sz="6" w:space="0" w:color="auto"/>
              <w:left w:val="single" w:sz="6" w:space="0" w:color="auto"/>
              <w:bottom w:val="single" w:sz="6" w:space="0" w:color="auto"/>
            </w:tcBorders>
          </w:tcPr>
          <w:p w14:paraId="59760923"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Станом на 31.12.2024 року склад Наглядової Ради Банку наступний: </w:t>
            </w:r>
          </w:p>
          <w:p w14:paraId="20496460"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3A9C767D"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Сiльвiо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Педраццi</w:t>
            </w:r>
            <w:proofErr w:type="spellEnd"/>
            <w:r w:rsidRPr="004229C1">
              <w:rPr>
                <w:rFonts w:ascii="Times New Roman" w:hAnsi="Times New Roman" w:cs="Times New Roman"/>
                <w:kern w:val="0"/>
                <w:sz w:val="22"/>
                <w:szCs w:val="22"/>
                <w:lang w:val="uk-UA"/>
              </w:rPr>
              <w:t xml:space="preserve"> - Голова Наглядової Ради (представник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p w14:paraId="1F7A7B6B"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38DD81D3"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Коррадо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Казалiно</w:t>
            </w:r>
            <w:proofErr w:type="spellEnd"/>
            <w:r w:rsidRPr="004229C1">
              <w:rPr>
                <w:rFonts w:ascii="Times New Roman" w:hAnsi="Times New Roman" w:cs="Times New Roman"/>
                <w:kern w:val="0"/>
                <w:sz w:val="22"/>
                <w:szCs w:val="22"/>
                <w:lang w:val="uk-UA"/>
              </w:rPr>
              <w:t xml:space="preserve"> - Заступник Голови Наглядової Ради, незалежний директор. </w:t>
            </w:r>
          </w:p>
          <w:p w14:paraId="24CA6035"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02D9A1F5"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Лаура </w:t>
            </w:r>
            <w:proofErr w:type="spellStart"/>
            <w:r w:rsidRPr="004229C1">
              <w:rPr>
                <w:rFonts w:ascii="Times New Roman" w:hAnsi="Times New Roman" w:cs="Times New Roman"/>
                <w:kern w:val="0"/>
                <w:sz w:val="22"/>
                <w:szCs w:val="22"/>
                <w:lang w:val="uk-UA"/>
              </w:rPr>
              <w:t>Феббраро</w:t>
            </w:r>
            <w:proofErr w:type="spellEnd"/>
            <w:r w:rsidRPr="004229C1">
              <w:rPr>
                <w:rFonts w:ascii="Times New Roman" w:hAnsi="Times New Roman" w:cs="Times New Roman"/>
                <w:kern w:val="0"/>
                <w:sz w:val="22"/>
                <w:szCs w:val="22"/>
                <w:lang w:val="uk-UA"/>
              </w:rPr>
              <w:t xml:space="preserve"> - член Наглядової Ради Банку, незалежний директор. </w:t>
            </w:r>
          </w:p>
          <w:p w14:paraId="7226D92A"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5766240F"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 </w:t>
            </w:r>
            <w:proofErr w:type="spellStart"/>
            <w:r w:rsidRPr="004229C1">
              <w:rPr>
                <w:rFonts w:ascii="Times New Roman" w:hAnsi="Times New Roman" w:cs="Times New Roman"/>
                <w:kern w:val="0"/>
                <w:sz w:val="22"/>
                <w:szCs w:val="22"/>
                <w:lang w:val="uk-UA"/>
              </w:rPr>
              <w:t>Фабрiцiо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Маллен</w:t>
            </w:r>
            <w:proofErr w:type="spellEnd"/>
            <w:r w:rsidRPr="004229C1">
              <w:rPr>
                <w:rFonts w:ascii="Times New Roman" w:hAnsi="Times New Roman" w:cs="Times New Roman"/>
                <w:kern w:val="0"/>
                <w:sz w:val="22"/>
                <w:szCs w:val="22"/>
                <w:lang w:val="uk-UA"/>
              </w:rPr>
              <w:t xml:space="preserve"> - член Наглядової Ради Банку, незалежний директор.</w:t>
            </w:r>
          </w:p>
          <w:p w14:paraId="04823157"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11AB7A93"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Данiела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Бландiно</w:t>
            </w:r>
            <w:proofErr w:type="spellEnd"/>
            <w:r w:rsidRPr="004229C1">
              <w:rPr>
                <w:rFonts w:ascii="Times New Roman" w:hAnsi="Times New Roman" w:cs="Times New Roman"/>
                <w:kern w:val="0"/>
                <w:sz w:val="22"/>
                <w:szCs w:val="22"/>
                <w:lang w:val="uk-UA"/>
              </w:rPr>
              <w:t xml:space="preserve"> - член Наглядової Ради Банку, представник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p w14:paraId="7A8A1411"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1E30D8FF"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Франческо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Дель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Дженiо</w:t>
            </w:r>
            <w:proofErr w:type="spellEnd"/>
            <w:r w:rsidRPr="004229C1">
              <w:rPr>
                <w:rFonts w:ascii="Times New Roman" w:hAnsi="Times New Roman" w:cs="Times New Roman"/>
                <w:kern w:val="0"/>
                <w:sz w:val="22"/>
                <w:szCs w:val="22"/>
                <w:lang w:val="uk-UA"/>
              </w:rPr>
              <w:t xml:space="preserve"> - член Наглядової Ради Банку, представник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p w14:paraId="53017C30"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7B061733"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Антонiо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Джованнi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Марiя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Бергалiо</w:t>
            </w:r>
            <w:proofErr w:type="spellEnd"/>
            <w:r w:rsidRPr="004229C1">
              <w:rPr>
                <w:rFonts w:ascii="Times New Roman" w:hAnsi="Times New Roman" w:cs="Times New Roman"/>
                <w:kern w:val="0"/>
                <w:sz w:val="22"/>
                <w:szCs w:val="22"/>
                <w:lang w:val="uk-UA"/>
              </w:rPr>
              <w:t xml:space="preserve"> - член Наглядової Ради Банку, представник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p w14:paraId="33B4F098"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05F0BAA2" w14:textId="77777777"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5E6C62" w:rsidRPr="004229C1" w14:paraId="38C561D1" w14:textId="77777777">
        <w:trPr>
          <w:trHeight w:val="200"/>
        </w:trPr>
        <w:tc>
          <w:tcPr>
            <w:tcW w:w="550" w:type="dxa"/>
            <w:tcBorders>
              <w:top w:val="single" w:sz="6" w:space="0" w:color="auto"/>
              <w:bottom w:val="single" w:sz="6" w:space="0" w:color="auto"/>
              <w:right w:val="single" w:sz="6" w:space="0" w:color="auto"/>
            </w:tcBorders>
          </w:tcPr>
          <w:p w14:paraId="1C09DA6F" w14:textId="7FB6B7A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1450" w:type="dxa"/>
            <w:tcBorders>
              <w:top w:val="single" w:sz="6" w:space="0" w:color="auto"/>
              <w:left w:val="single" w:sz="6" w:space="0" w:color="auto"/>
              <w:bottom w:val="single" w:sz="6" w:space="0" w:color="auto"/>
              <w:right w:val="single" w:sz="6" w:space="0" w:color="auto"/>
            </w:tcBorders>
          </w:tcPr>
          <w:p w14:paraId="410D99C8" w14:textId="4F3FB31B"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w:t>
            </w:r>
          </w:p>
        </w:tc>
        <w:tc>
          <w:tcPr>
            <w:tcW w:w="4000" w:type="dxa"/>
            <w:tcBorders>
              <w:top w:val="single" w:sz="6" w:space="0" w:color="auto"/>
              <w:left w:val="single" w:sz="6" w:space="0" w:color="auto"/>
              <w:bottom w:val="single" w:sz="6" w:space="0" w:color="auto"/>
              <w:right w:val="single" w:sz="6" w:space="0" w:color="auto"/>
            </w:tcBorders>
          </w:tcPr>
          <w:p w14:paraId="40BBFF1B"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Голова, Перший Заступник, Заступники  та члени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обираються Наглядовою Радою Банку. </w:t>
            </w:r>
            <w:proofErr w:type="spellStart"/>
            <w:r w:rsidRPr="004229C1">
              <w:rPr>
                <w:rFonts w:ascii="Times New Roman" w:hAnsi="Times New Roman" w:cs="Times New Roman"/>
                <w:kern w:val="0"/>
                <w:sz w:val="22"/>
                <w:szCs w:val="22"/>
                <w:lang w:val="uk-UA"/>
              </w:rPr>
              <w:t>Кiлькiсний</w:t>
            </w:r>
            <w:proofErr w:type="spellEnd"/>
            <w:r w:rsidRPr="004229C1">
              <w:rPr>
                <w:rFonts w:ascii="Times New Roman" w:hAnsi="Times New Roman" w:cs="Times New Roman"/>
                <w:kern w:val="0"/>
                <w:sz w:val="22"/>
                <w:szCs w:val="22"/>
                <w:lang w:val="uk-UA"/>
              </w:rPr>
              <w:t xml:space="preserve"> склад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порядок призначення, </w:t>
            </w:r>
            <w:proofErr w:type="spellStart"/>
            <w:r w:rsidRPr="004229C1">
              <w:rPr>
                <w:rFonts w:ascii="Times New Roman" w:hAnsi="Times New Roman" w:cs="Times New Roman"/>
                <w:kern w:val="0"/>
                <w:sz w:val="22"/>
                <w:szCs w:val="22"/>
                <w:lang w:val="uk-UA"/>
              </w:rPr>
              <w:t>вiдсторонення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звiльнення</w:t>
            </w:r>
            <w:proofErr w:type="spellEnd"/>
            <w:r w:rsidRPr="004229C1">
              <w:rPr>
                <w:rFonts w:ascii="Times New Roman" w:hAnsi="Times New Roman" w:cs="Times New Roman"/>
                <w:kern w:val="0"/>
                <w:sz w:val="22"/>
                <w:szCs w:val="22"/>
                <w:lang w:val="uk-UA"/>
              </w:rPr>
              <w:t xml:space="preserve"> його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визначаються Статутом Банку та законодавством України. </w:t>
            </w:r>
            <w:proofErr w:type="spellStart"/>
            <w:r w:rsidRPr="004229C1">
              <w:rPr>
                <w:rFonts w:ascii="Times New Roman" w:hAnsi="Times New Roman" w:cs="Times New Roman"/>
                <w:kern w:val="0"/>
                <w:sz w:val="22"/>
                <w:szCs w:val="22"/>
                <w:lang w:val="uk-UA"/>
              </w:rPr>
              <w:t>Кiлькiсний</w:t>
            </w:r>
            <w:proofErr w:type="spellEnd"/>
            <w:r w:rsidRPr="004229C1">
              <w:rPr>
                <w:rFonts w:ascii="Times New Roman" w:hAnsi="Times New Roman" w:cs="Times New Roman"/>
                <w:kern w:val="0"/>
                <w:sz w:val="22"/>
                <w:szCs w:val="22"/>
                <w:lang w:val="uk-UA"/>
              </w:rPr>
              <w:t xml:space="preserve"> склад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може час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часу </w:t>
            </w:r>
            <w:proofErr w:type="spellStart"/>
            <w:r w:rsidRPr="004229C1">
              <w:rPr>
                <w:rFonts w:ascii="Times New Roman" w:hAnsi="Times New Roman" w:cs="Times New Roman"/>
                <w:kern w:val="0"/>
                <w:sz w:val="22"/>
                <w:szCs w:val="22"/>
                <w:lang w:val="uk-UA"/>
              </w:rPr>
              <w:t>змiнюватися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вiдповiдно</w:t>
            </w:r>
            <w:proofErr w:type="spellEnd"/>
            <w:r w:rsidRPr="004229C1">
              <w:rPr>
                <w:rFonts w:ascii="Times New Roman" w:hAnsi="Times New Roman" w:cs="Times New Roman"/>
                <w:kern w:val="0"/>
                <w:sz w:val="22"/>
                <w:szCs w:val="22"/>
                <w:lang w:val="uk-UA"/>
              </w:rPr>
              <w:t xml:space="preserve"> до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Наглядової Ради Банку в </w:t>
            </w:r>
            <w:proofErr w:type="spellStart"/>
            <w:r w:rsidRPr="004229C1">
              <w:rPr>
                <w:rFonts w:ascii="Times New Roman" w:hAnsi="Times New Roman" w:cs="Times New Roman"/>
                <w:kern w:val="0"/>
                <w:sz w:val="22"/>
                <w:szCs w:val="22"/>
                <w:lang w:val="uk-UA"/>
              </w:rPr>
              <w:t>залежностi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поточної </w:t>
            </w:r>
            <w:proofErr w:type="spellStart"/>
            <w:r w:rsidRPr="004229C1">
              <w:rPr>
                <w:rFonts w:ascii="Times New Roman" w:hAnsi="Times New Roman" w:cs="Times New Roman"/>
                <w:kern w:val="0"/>
                <w:sz w:val="22"/>
                <w:szCs w:val="22"/>
                <w:lang w:val="uk-UA"/>
              </w:rPr>
              <w:t>необхiдностi</w:t>
            </w:r>
            <w:proofErr w:type="spellEnd"/>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складається не менш </w:t>
            </w:r>
            <w:proofErr w:type="spellStart"/>
            <w:r w:rsidRPr="004229C1">
              <w:rPr>
                <w:rFonts w:ascii="Times New Roman" w:hAnsi="Times New Roman" w:cs="Times New Roman"/>
                <w:kern w:val="0"/>
                <w:sz w:val="22"/>
                <w:szCs w:val="22"/>
                <w:lang w:val="uk-UA"/>
              </w:rPr>
              <w:t>нiж</w:t>
            </w:r>
            <w:proofErr w:type="spellEnd"/>
            <w:r w:rsidRPr="004229C1">
              <w:rPr>
                <w:rFonts w:ascii="Times New Roman" w:hAnsi="Times New Roman" w:cs="Times New Roman"/>
                <w:kern w:val="0"/>
                <w:sz w:val="22"/>
                <w:szCs w:val="22"/>
                <w:lang w:val="uk-UA"/>
              </w:rPr>
              <w:t xml:space="preserve"> з трьох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w:t>
            </w:r>
          </w:p>
          <w:p w14:paraId="07367AA4"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500B9229"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Станом на 31.12.2024 року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складається з 7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 Голови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Першого Заступника, Заступника Голови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та 4-х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w:t>
            </w:r>
          </w:p>
          <w:p w14:paraId="41D1761B" w14:textId="59C6F543"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c>
          <w:tcPr>
            <w:tcW w:w="4000" w:type="dxa"/>
            <w:tcBorders>
              <w:top w:val="single" w:sz="6" w:space="0" w:color="auto"/>
              <w:left w:val="single" w:sz="6" w:space="0" w:color="auto"/>
              <w:bottom w:val="single" w:sz="6" w:space="0" w:color="auto"/>
            </w:tcBorders>
          </w:tcPr>
          <w:p w14:paraId="66F30BA7"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Станом на 31.12.2024 року склад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наступний: </w:t>
            </w:r>
          </w:p>
          <w:p w14:paraId="151300EE"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15175639"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Коррiас</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Джанлука</w:t>
            </w:r>
            <w:proofErr w:type="spellEnd"/>
            <w:r w:rsidRPr="004229C1">
              <w:rPr>
                <w:rFonts w:ascii="Times New Roman" w:hAnsi="Times New Roman" w:cs="Times New Roman"/>
                <w:kern w:val="0"/>
                <w:sz w:val="22"/>
                <w:szCs w:val="22"/>
                <w:lang w:val="uk-UA"/>
              </w:rPr>
              <w:t xml:space="preserve"> - Голова </w:t>
            </w:r>
            <w:proofErr w:type="spellStart"/>
            <w:r w:rsidRPr="004229C1">
              <w:rPr>
                <w:rFonts w:ascii="Times New Roman" w:hAnsi="Times New Roman" w:cs="Times New Roman"/>
                <w:kern w:val="0"/>
                <w:sz w:val="22"/>
                <w:szCs w:val="22"/>
                <w:lang w:val="uk-UA"/>
              </w:rPr>
              <w:t>Правлiння</w:t>
            </w:r>
            <w:proofErr w:type="spellEnd"/>
          </w:p>
          <w:p w14:paraId="3B537F2E"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0D42E394"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Де </w:t>
            </w:r>
            <w:proofErr w:type="spellStart"/>
            <w:r w:rsidRPr="004229C1">
              <w:rPr>
                <w:rFonts w:ascii="Times New Roman" w:hAnsi="Times New Roman" w:cs="Times New Roman"/>
                <w:kern w:val="0"/>
                <w:sz w:val="22"/>
                <w:szCs w:val="22"/>
                <w:lang w:val="uk-UA"/>
              </w:rPr>
              <w:t>Мiкелiс</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Андреа</w:t>
            </w:r>
            <w:proofErr w:type="spellEnd"/>
            <w:r w:rsidRPr="004229C1">
              <w:rPr>
                <w:rFonts w:ascii="Times New Roman" w:hAnsi="Times New Roman" w:cs="Times New Roman"/>
                <w:kern w:val="0"/>
                <w:sz w:val="22"/>
                <w:szCs w:val="22"/>
                <w:lang w:val="uk-UA"/>
              </w:rPr>
              <w:t xml:space="preserve"> - Перший Заступник Голови </w:t>
            </w:r>
            <w:proofErr w:type="spellStart"/>
            <w:r w:rsidRPr="004229C1">
              <w:rPr>
                <w:rFonts w:ascii="Times New Roman" w:hAnsi="Times New Roman" w:cs="Times New Roman"/>
                <w:kern w:val="0"/>
                <w:sz w:val="22"/>
                <w:szCs w:val="22"/>
                <w:lang w:val="uk-UA"/>
              </w:rPr>
              <w:t>Правлiння</w:t>
            </w:r>
            <w:proofErr w:type="spellEnd"/>
          </w:p>
          <w:p w14:paraId="5A214C67"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4A7CE8A1"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Бабаєв</w:t>
            </w:r>
            <w:proofErr w:type="spellEnd"/>
            <w:r w:rsidRPr="004229C1">
              <w:rPr>
                <w:rFonts w:ascii="Times New Roman" w:hAnsi="Times New Roman" w:cs="Times New Roman"/>
                <w:kern w:val="0"/>
                <w:sz w:val="22"/>
                <w:szCs w:val="22"/>
                <w:lang w:val="uk-UA"/>
              </w:rPr>
              <w:t xml:space="preserve"> Семен </w:t>
            </w:r>
            <w:proofErr w:type="spellStart"/>
            <w:r w:rsidRPr="004229C1">
              <w:rPr>
                <w:rFonts w:ascii="Times New Roman" w:hAnsi="Times New Roman" w:cs="Times New Roman"/>
                <w:kern w:val="0"/>
                <w:sz w:val="22"/>
                <w:szCs w:val="22"/>
                <w:lang w:val="uk-UA"/>
              </w:rPr>
              <w:t>Завлуєвич</w:t>
            </w:r>
            <w:proofErr w:type="spellEnd"/>
            <w:r w:rsidRPr="004229C1">
              <w:rPr>
                <w:rFonts w:ascii="Times New Roman" w:hAnsi="Times New Roman" w:cs="Times New Roman"/>
                <w:kern w:val="0"/>
                <w:sz w:val="22"/>
                <w:szCs w:val="22"/>
                <w:lang w:val="uk-UA"/>
              </w:rPr>
              <w:t xml:space="preserve"> - Заступник Голови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керiвник</w:t>
            </w:r>
            <w:proofErr w:type="spellEnd"/>
            <w:r w:rsidRPr="004229C1">
              <w:rPr>
                <w:rFonts w:ascii="Times New Roman" w:hAnsi="Times New Roman" w:cs="Times New Roman"/>
                <w:kern w:val="0"/>
                <w:sz w:val="22"/>
                <w:szCs w:val="22"/>
                <w:lang w:val="uk-UA"/>
              </w:rPr>
              <w:t xml:space="preserve"> головного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бiзнесу</w:t>
            </w:r>
            <w:proofErr w:type="spellEnd"/>
            <w:r w:rsidRPr="004229C1">
              <w:rPr>
                <w:rFonts w:ascii="Times New Roman" w:hAnsi="Times New Roman" w:cs="Times New Roman"/>
                <w:kern w:val="0"/>
                <w:sz w:val="22"/>
                <w:szCs w:val="22"/>
                <w:lang w:val="uk-UA"/>
              </w:rPr>
              <w:t>.</w:t>
            </w:r>
          </w:p>
          <w:p w14:paraId="34F540D4"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3FC4E4C6" w14:textId="19825E1C"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Лещенко Руслан </w:t>
            </w:r>
            <w:proofErr w:type="spellStart"/>
            <w:r w:rsidRPr="004229C1">
              <w:rPr>
                <w:rFonts w:ascii="Times New Roman" w:hAnsi="Times New Roman" w:cs="Times New Roman"/>
                <w:kern w:val="0"/>
                <w:sz w:val="22"/>
                <w:szCs w:val="22"/>
                <w:lang w:val="uk-UA"/>
              </w:rPr>
              <w:t>Iгорович</w:t>
            </w:r>
            <w:proofErr w:type="spellEnd"/>
            <w:r w:rsidRPr="004229C1">
              <w:rPr>
                <w:rFonts w:ascii="Times New Roman" w:hAnsi="Times New Roman" w:cs="Times New Roman"/>
                <w:kern w:val="0"/>
                <w:sz w:val="22"/>
                <w:szCs w:val="22"/>
                <w:lang w:val="uk-UA"/>
              </w:rPr>
              <w:t xml:space="preserve"> - член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керiвник</w:t>
            </w:r>
            <w:proofErr w:type="spellEnd"/>
            <w:r w:rsidRPr="004229C1">
              <w:rPr>
                <w:rFonts w:ascii="Times New Roman" w:hAnsi="Times New Roman" w:cs="Times New Roman"/>
                <w:kern w:val="0"/>
                <w:sz w:val="22"/>
                <w:szCs w:val="22"/>
                <w:lang w:val="uk-UA"/>
              </w:rPr>
              <w:t xml:space="preserve"> головного кредитного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w:t>
            </w:r>
          </w:p>
          <w:p w14:paraId="7F895F03"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540EE32F"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Крамарова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Свiтлана</w:t>
            </w:r>
            <w:proofErr w:type="spellEnd"/>
            <w:r w:rsidRPr="004229C1">
              <w:rPr>
                <w:rFonts w:ascii="Times New Roman" w:hAnsi="Times New Roman" w:cs="Times New Roman"/>
                <w:kern w:val="0"/>
                <w:sz w:val="22"/>
                <w:szCs w:val="22"/>
                <w:lang w:val="uk-UA"/>
              </w:rPr>
              <w:t xml:space="preserve"> Миколаївна - член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керiвник</w:t>
            </w:r>
            <w:proofErr w:type="spellEnd"/>
            <w:r w:rsidRPr="004229C1">
              <w:rPr>
                <w:rFonts w:ascii="Times New Roman" w:hAnsi="Times New Roman" w:cs="Times New Roman"/>
                <w:kern w:val="0"/>
                <w:sz w:val="22"/>
                <w:szCs w:val="22"/>
                <w:lang w:val="uk-UA"/>
              </w:rPr>
              <w:t xml:space="preserve"> головного </w:t>
            </w:r>
            <w:proofErr w:type="spellStart"/>
            <w:r w:rsidRPr="004229C1">
              <w:rPr>
                <w:rFonts w:ascii="Times New Roman" w:hAnsi="Times New Roman" w:cs="Times New Roman"/>
                <w:kern w:val="0"/>
                <w:sz w:val="22"/>
                <w:szCs w:val="22"/>
                <w:lang w:val="uk-UA"/>
              </w:rPr>
              <w:t>фiнансового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w:t>
            </w:r>
          </w:p>
          <w:p w14:paraId="5A2E6DE5"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423AD2A4"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roofErr w:type="spellStart"/>
            <w:r w:rsidRPr="004229C1">
              <w:rPr>
                <w:rFonts w:ascii="Times New Roman" w:hAnsi="Times New Roman" w:cs="Times New Roman"/>
                <w:kern w:val="0"/>
                <w:sz w:val="22"/>
                <w:szCs w:val="22"/>
                <w:lang w:val="uk-UA"/>
              </w:rPr>
              <w:t>Остахова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Лiлiя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Вiкторiвна</w:t>
            </w:r>
            <w:proofErr w:type="spellEnd"/>
            <w:r w:rsidRPr="004229C1">
              <w:rPr>
                <w:rFonts w:ascii="Times New Roman" w:hAnsi="Times New Roman" w:cs="Times New Roman"/>
                <w:kern w:val="0"/>
                <w:sz w:val="22"/>
                <w:szCs w:val="22"/>
                <w:lang w:val="uk-UA"/>
              </w:rPr>
              <w:t xml:space="preserve"> - член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керiвник</w:t>
            </w:r>
            <w:proofErr w:type="spellEnd"/>
            <w:r w:rsidRPr="004229C1">
              <w:rPr>
                <w:rFonts w:ascii="Times New Roman" w:hAnsi="Times New Roman" w:cs="Times New Roman"/>
                <w:kern w:val="0"/>
                <w:sz w:val="22"/>
                <w:szCs w:val="22"/>
                <w:lang w:val="uk-UA"/>
              </w:rPr>
              <w:t xml:space="preserve"> головного </w:t>
            </w:r>
            <w:proofErr w:type="spellStart"/>
            <w:r w:rsidRPr="004229C1">
              <w:rPr>
                <w:rFonts w:ascii="Times New Roman" w:hAnsi="Times New Roman" w:cs="Times New Roman"/>
                <w:kern w:val="0"/>
                <w:sz w:val="22"/>
                <w:szCs w:val="22"/>
                <w:lang w:val="uk-UA"/>
              </w:rPr>
              <w:t>операцiйного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w:t>
            </w:r>
          </w:p>
          <w:p w14:paraId="65AFBF5C"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224D07D6"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Єфремов Олег </w:t>
            </w:r>
            <w:proofErr w:type="spellStart"/>
            <w:r w:rsidRPr="004229C1">
              <w:rPr>
                <w:rFonts w:ascii="Times New Roman" w:hAnsi="Times New Roman" w:cs="Times New Roman"/>
                <w:kern w:val="0"/>
                <w:sz w:val="22"/>
                <w:szCs w:val="22"/>
                <w:lang w:val="uk-UA"/>
              </w:rPr>
              <w:t>Анатолiйович</w:t>
            </w:r>
            <w:proofErr w:type="spellEnd"/>
            <w:r w:rsidRPr="004229C1">
              <w:rPr>
                <w:rFonts w:ascii="Times New Roman" w:hAnsi="Times New Roman" w:cs="Times New Roman"/>
                <w:kern w:val="0"/>
                <w:sz w:val="22"/>
                <w:szCs w:val="22"/>
                <w:lang w:val="uk-UA"/>
              </w:rPr>
              <w:t xml:space="preserve"> - член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головний комплаєнс-менеджер - директор департаменту </w:t>
            </w:r>
            <w:proofErr w:type="spellStart"/>
            <w:r w:rsidRPr="004229C1">
              <w:rPr>
                <w:rFonts w:ascii="Times New Roman" w:hAnsi="Times New Roman" w:cs="Times New Roman"/>
                <w:kern w:val="0"/>
                <w:sz w:val="22"/>
                <w:szCs w:val="22"/>
                <w:lang w:val="uk-UA"/>
              </w:rPr>
              <w:t>комплаєнсу</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протидiї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легалiзацiї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доходiв</w:t>
            </w:r>
            <w:proofErr w:type="spellEnd"/>
            <w:r w:rsidRPr="004229C1">
              <w:rPr>
                <w:rFonts w:ascii="Times New Roman" w:hAnsi="Times New Roman" w:cs="Times New Roman"/>
                <w:kern w:val="0"/>
                <w:sz w:val="22"/>
                <w:szCs w:val="22"/>
                <w:lang w:val="uk-UA"/>
              </w:rPr>
              <w:t xml:space="preserve">, отриманих злочинним шляхом. </w:t>
            </w:r>
            <w:proofErr w:type="spellStart"/>
            <w:r w:rsidRPr="004229C1">
              <w:rPr>
                <w:rFonts w:ascii="Times New Roman" w:hAnsi="Times New Roman" w:cs="Times New Roman"/>
                <w:kern w:val="0"/>
                <w:sz w:val="22"/>
                <w:szCs w:val="22"/>
                <w:lang w:val="uk-UA"/>
              </w:rPr>
              <w:t>Вiдповiдальний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працiвник</w:t>
            </w:r>
            <w:proofErr w:type="spellEnd"/>
            <w:r w:rsidRPr="004229C1">
              <w:rPr>
                <w:rFonts w:ascii="Times New Roman" w:hAnsi="Times New Roman" w:cs="Times New Roman"/>
                <w:kern w:val="0"/>
                <w:sz w:val="22"/>
                <w:szCs w:val="22"/>
                <w:lang w:val="uk-UA"/>
              </w:rPr>
              <w:t xml:space="preserve"> Банку за проведення </w:t>
            </w:r>
            <w:proofErr w:type="spellStart"/>
            <w:r w:rsidRPr="004229C1">
              <w:rPr>
                <w:rFonts w:ascii="Times New Roman" w:hAnsi="Times New Roman" w:cs="Times New Roman"/>
                <w:kern w:val="0"/>
                <w:sz w:val="22"/>
                <w:szCs w:val="22"/>
                <w:lang w:val="uk-UA"/>
              </w:rPr>
              <w:t>фiнансового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монiторингу</w:t>
            </w:r>
            <w:proofErr w:type="spellEnd"/>
            <w:r w:rsidRPr="004229C1">
              <w:rPr>
                <w:rFonts w:ascii="Times New Roman" w:hAnsi="Times New Roman" w:cs="Times New Roman"/>
                <w:kern w:val="0"/>
                <w:sz w:val="22"/>
                <w:szCs w:val="22"/>
                <w:lang w:val="uk-UA"/>
              </w:rPr>
              <w:t>.</w:t>
            </w:r>
          </w:p>
          <w:p w14:paraId="0032674D" w14:textId="77777777" w:rsidR="005E6C62" w:rsidRPr="004229C1" w:rsidRDefault="005E6C62" w:rsidP="005E6C6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p w14:paraId="353B2348" w14:textId="77777777"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bl>
    <w:p w14:paraId="07464E8B"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2F3FE62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sectPr w:rsidR="007469BF" w:rsidRPr="004229C1">
          <w:pgSz w:w="11905" w:h="16837" w:orient="landscape"/>
          <w:pgMar w:top="570" w:right="720" w:bottom="570" w:left="720" w:header="720" w:footer="720" w:gutter="0"/>
          <w:cols w:space="720"/>
          <w:noEndnote/>
        </w:sectPr>
      </w:pPr>
    </w:p>
    <w:p w14:paraId="0CE8D165"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Інформація щодо посадових осіб</w:t>
      </w:r>
    </w:p>
    <w:p w14:paraId="5AB5BA40"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5E6C62" w:rsidRPr="004229C1" w14:paraId="068C1152" w14:textId="77777777" w:rsidTr="00FA3E07">
        <w:trPr>
          <w:trHeight w:val="200"/>
        </w:trPr>
        <w:tc>
          <w:tcPr>
            <w:tcW w:w="550" w:type="dxa"/>
            <w:tcBorders>
              <w:top w:val="single" w:sz="6" w:space="0" w:color="auto"/>
              <w:bottom w:val="single" w:sz="6" w:space="0" w:color="auto"/>
              <w:right w:val="single" w:sz="6" w:space="0" w:color="auto"/>
            </w:tcBorders>
            <w:vAlign w:val="center"/>
          </w:tcPr>
          <w:p w14:paraId="08B709B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70FB4FA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742B5B4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E5AD4F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3DA8FDE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1720FED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7DCCD2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1CB8201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5EB4365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4296CBC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E1569E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Непогашена судимість за корисливі та посадові злочини (Так/Ні)</w:t>
            </w:r>
          </w:p>
        </w:tc>
      </w:tr>
      <w:tr w:rsidR="005E6C62" w:rsidRPr="004229C1" w14:paraId="79DF3533"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68120D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62D514A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14:paraId="2386D20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14:paraId="0634B56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14:paraId="2F1F2BB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14:paraId="59DD17B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14:paraId="11E4D56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14:paraId="12DC84A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14:paraId="30DA9EA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14:paraId="4E05B3F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10</w:t>
            </w:r>
          </w:p>
        </w:tc>
        <w:tc>
          <w:tcPr>
            <w:tcW w:w="1400" w:type="dxa"/>
            <w:tcBorders>
              <w:top w:val="single" w:sz="6" w:space="0" w:color="auto"/>
              <w:left w:val="single" w:sz="6" w:space="0" w:color="auto"/>
              <w:bottom w:val="single" w:sz="6" w:space="0" w:color="auto"/>
            </w:tcBorders>
            <w:vAlign w:val="center"/>
          </w:tcPr>
          <w:p w14:paraId="4BD65DF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11</w:t>
            </w:r>
          </w:p>
        </w:tc>
      </w:tr>
      <w:tr w:rsidR="005E6C62" w:rsidRPr="004229C1" w14:paraId="1B35E36C" w14:textId="77777777" w:rsidTr="00FA3E07">
        <w:trPr>
          <w:trHeight w:val="200"/>
        </w:trPr>
        <w:tc>
          <w:tcPr>
            <w:tcW w:w="550" w:type="dxa"/>
            <w:tcBorders>
              <w:top w:val="single" w:sz="6" w:space="0" w:color="auto"/>
              <w:bottom w:val="single" w:sz="6" w:space="0" w:color="auto"/>
              <w:right w:val="single" w:sz="6" w:space="0" w:color="auto"/>
            </w:tcBorders>
            <w:vAlign w:val="center"/>
          </w:tcPr>
          <w:p w14:paraId="0308E46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072E4B0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Голова Наглядової Ради Банку (представник </w:t>
            </w:r>
            <w:proofErr w:type="spellStart"/>
            <w:r w:rsidRPr="004229C1">
              <w:rPr>
                <w:rFonts w:ascii="Times New Roman" w:hAnsi="Times New Roman" w:cs="Times New Roman"/>
                <w:kern w:val="0"/>
                <w:sz w:val="20"/>
                <w:szCs w:val="20"/>
                <w:lang w:val="uk-UA"/>
              </w:rPr>
              <w:t>акцiонера</w:t>
            </w:r>
            <w:proofErr w:type="spellEnd"/>
            <w:r w:rsidRPr="004229C1">
              <w:rPr>
                <w:rFonts w:ascii="Times New Roman" w:hAnsi="Times New Roman" w:cs="Times New Roman"/>
                <w:kern w:val="0"/>
                <w:sz w:val="20"/>
                <w:szCs w:val="20"/>
                <w:lang w:val="uk-UA"/>
              </w:rPr>
              <w:t>)</w:t>
            </w:r>
          </w:p>
        </w:tc>
        <w:tc>
          <w:tcPr>
            <w:tcW w:w="2100" w:type="dxa"/>
            <w:tcBorders>
              <w:top w:val="single" w:sz="6" w:space="0" w:color="auto"/>
              <w:left w:val="single" w:sz="6" w:space="0" w:color="auto"/>
              <w:bottom w:val="single" w:sz="6" w:space="0" w:color="auto"/>
              <w:right w:val="single" w:sz="6" w:space="0" w:color="auto"/>
            </w:tcBorders>
            <w:vAlign w:val="center"/>
          </w:tcPr>
          <w:p w14:paraId="1600698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Сiльвiо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Педраццi</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8DDAD7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5B55613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7580A55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1959</w:t>
            </w:r>
          </w:p>
        </w:tc>
        <w:tc>
          <w:tcPr>
            <w:tcW w:w="1000" w:type="dxa"/>
            <w:tcBorders>
              <w:top w:val="single" w:sz="6" w:space="0" w:color="auto"/>
              <w:left w:val="single" w:sz="6" w:space="0" w:color="auto"/>
              <w:bottom w:val="single" w:sz="6" w:space="0" w:color="auto"/>
              <w:right w:val="single" w:sz="6" w:space="0" w:color="auto"/>
            </w:tcBorders>
            <w:vAlign w:val="center"/>
          </w:tcPr>
          <w:p w14:paraId="6354992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F83779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45</w:t>
            </w:r>
          </w:p>
        </w:tc>
        <w:tc>
          <w:tcPr>
            <w:tcW w:w="3100" w:type="dxa"/>
            <w:tcBorders>
              <w:top w:val="single" w:sz="6" w:space="0" w:color="auto"/>
              <w:left w:val="single" w:sz="6" w:space="0" w:color="auto"/>
              <w:bottom w:val="single" w:sz="6" w:space="0" w:color="auto"/>
              <w:right w:val="single" w:sz="6" w:space="0" w:color="auto"/>
            </w:tcBorders>
            <w:vAlign w:val="center"/>
          </w:tcPr>
          <w:p w14:paraId="31904F6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Албанiя</w:t>
            </w:r>
            <w:proofErr w:type="spellEnd"/>
            <w:r w:rsidRPr="004229C1">
              <w:rPr>
                <w:rFonts w:ascii="Times New Roman" w:hAnsi="Times New Roman" w:cs="Times New Roman"/>
                <w:kern w:val="0"/>
                <w:sz w:val="20"/>
                <w:szCs w:val="20"/>
                <w:lang w:val="uk-UA"/>
              </w:rPr>
              <w:t xml:space="preserve">, 3707564, Виконавчий директор, член Ради директорiв29.04.2014-31.08.2021Блесд </w:t>
            </w:r>
            <w:proofErr w:type="spellStart"/>
            <w:r w:rsidRPr="004229C1">
              <w:rPr>
                <w:rFonts w:ascii="Times New Roman" w:hAnsi="Times New Roman" w:cs="Times New Roman"/>
                <w:kern w:val="0"/>
                <w:sz w:val="20"/>
                <w:szCs w:val="20"/>
                <w:lang w:val="uk-UA"/>
              </w:rPr>
              <w:t>Iнвестментс</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Шпк</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Албанiя</w:t>
            </w:r>
            <w:proofErr w:type="spellEnd"/>
            <w:r w:rsidRPr="004229C1">
              <w:rPr>
                <w:rFonts w:ascii="Times New Roman" w:hAnsi="Times New Roman" w:cs="Times New Roman"/>
                <w:kern w:val="0"/>
                <w:sz w:val="20"/>
                <w:szCs w:val="20"/>
                <w:lang w:val="uk-UA"/>
              </w:rPr>
              <w:t>, L714230028S,Стратегiчний консультант з 01.03.2021</w:t>
            </w:r>
          </w:p>
          <w:p w14:paraId="0841D61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60BEFD6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1A0B67F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429FBCD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r w:rsidRPr="004229C1">
              <w:rPr>
                <w:rFonts w:ascii="Times New Roman" w:hAnsi="Times New Roman" w:cs="Times New Roman"/>
                <w:kern w:val="0"/>
                <w:sz w:val="20"/>
                <w:szCs w:val="20"/>
                <w:lang w:val="uk-UA"/>
              </w:rPr>
              <w:t>.</w:t>
            </w:r>
          </w:p>
        </w:tc>
        <w:tc>
          <w:tcPr>
            <w:tcW w:w="1400" w:type="dxa"/>
            <w:tcBorders>
              <w:top w:val="single" w:sz="6" w:space="0" w:color="auto"/>
              <w:left w:val="single" w:sz="6" w:space="0" w:color="auto"/>
              <w:bottom w:val="single" w:sz="6" w:space="0" w:color="auto"/>
            </w:tcBorders>
            <w:vAlign w:val="center"/>
          </w:tcPr>
          <w:p w14:paraId="051BEBE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4A773FB8" w14:textId="77777777" w:rsidTr="00FA3E07">
        <w:trPr>
          <w:trHeight w:val="200"/>
        </w:trPr>
        <w:tc>
          <w:tcPr>
            <w:tcW w:w="550" w:type="dxa"/>
            <w:tcBorders>
              <w:top w:val="single" w:sz="6" w:space="0" w:color="auto"/>
              <w:bottom w:val="single" w:sz="6" w:space="0" w:color="auto"/>
              <w:right w:val="single" w:sz="6" w:space="0" w:color="auto"/>
            </w:tcBorders>
            <w:vAlign w:val="center"/>
          </w:tcPr>
          <w:p w14:paraId="7D626C4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050" w:type="dxa"/>
            <w:tcBorders>
              <w:top w:val="single" w:sz="6" w:space="0" w:color="auto"/>
              <w:left w:val="single" w:sz="6" w:space="0" w:color="auto"/>
              <w:bottom w:val="single" w:sz="6" w:space="0" w:color="auto"/>
              <w:right w:val="single" w:sz="6" w:space="0" w:color="auto"/>
            </w:tcBorders>
            <w:vAlign w:val="center"/>
          </w:tcPr>
          <w:p w14:paraId="43E14CB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Член Наглядової Ради, Заступник Голови Наглядової Ради Банку (незалежний 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3548EFC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Коррадо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П'єтро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Марiя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Казалiно</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A249E2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79D53D9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04A81BB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1954</w:t>
            </w:r>
          </w:p>
        </w:tc>
        <w:tc>
          <w:tcPr>
            <w:tcW w:w="1000" w:type="dxa"/>
            <w:tcBorders>
              <w:top w:val="single" w:sz="6" w:space="0" w:color="auto"/>
              <w:left w:val="single" w:sz="6" w:space="0" w:color="auto"/>
              <w:bottom w:val="single" w:sz="6" w:space="0" w:color="auto"/>
              <w:right w:val="single" w:sz="6" w:space="0" w:color="auto"/>
            </w:tcBorders>
            <w:vAlign w:val="center"/>
          </w:tcPr>
          <w:p w14:paraId="403B801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45ACBE1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42</w:t>
            </w:r>
          </w:p>
        </w:tc>
        <w:tc>
          <w:tcPr>
            <w:tcW w:w="3100" w:type="dxa"/>
            <w:tcBorders>
              <w:top w:val="single" w:sz="6" w:space="0" w:color="auto"/>
              <w:left w:val="single" w:sz="6" w:space="0" w:color="auto"/>
              <w:bottom w:val="single" w:sz="6" w:space="0" w:color="auto"/>
              <w:right w:val="single" w:sz="6" w:space="0" w:color="auto"/>
            </w:tcBorders>
            <w:vAlign w:val="center"/>
          </w:tcPr>
          <w:p w14:paraId="0F04DE0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БАНК"14360920 Член Наглядової Ради, Заступник Голови Наглядової Ради (незалежний директор) </w:t>
            </w:r>
          </w:p>
          <w:p w14:paraId="48C7A24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2DA9DD9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68A74C4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7526899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6278AC4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08C014D9" w14:textId="77777777" w:rsidTr="00FA3E07">
        <w:trPr>
          <w:trHeight w:val="200"/>
        </w:trPr>
        <w:tc>
          <w:tcPr>
            <w:tcW w:w="550" w:type="dxa"/>
            <w:tcBorders>
              <w:top w:val="single" w:sz="6" w:space="0" w:color="auto"/>
              <w:bottom w:val="single" w:sz="6" w:space="0" w:color="auto"/>
              <w:right w:val="single" w:sz="6" w:space="0" w:color="auto"/>
            </w:tcBorders>
            <w:vAlign w:val="center"/>
          </w:tcPr>
          <w:p w14:paraId="5BD45AB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2050" w:type="dxa"/>
            <w:tcBorders>
              <w:top w:val="single" w:sz="6" w:space="0" w:color="auto"/>
              <w:left w:val="single" w:sz="6" w:space="0" w:color="auto"/>
              <w:bottom w:val="single" w:sz="6" w:space="0" w:color="auto"/>
              <w:right w:val="single" w:sz="6" w:space="0" w:color="auto"/>
            </w:tcBorders>
            <w:vAlign w:val="center"/>
          </w:tcPr>
          <w:p w14:paraId="7CA84B3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Член Наглядової Ради Банку (незалежний 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5F5B1E3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Лаура </w:t>
            </w:r>
            <w:proofErr w:type="spellStart"/>
            <w:r w:rsidRPr="004229C1">
              <w:rPr>
                <w:rFonts w:ascii="Times New Roman" w:hAnsi="Times New Roman" w:cs="Times New Roman"/>
                <w:kern w:val="0"/>
                <w:sz w:val="20"/>
                <w:szCs w:val="20"/>
                <w:lang w:val="uk-UA"/>
              </w:rPr>
              <w:t>Феббраро</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5A28FD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087470D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7618A94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1951</w:t>
            </w:r>
          </w:p>
        </w:tc>
        <w:tc>
          <w:tcPr>
            <w:tcW w:w="1000" w:type="dxa"/>
            <w:tcBorders>
              <w:top w:val="single" w:sz="6" w:space="0" w:color="auto"/>
              <w:left w:val="single" w:sz="6" w:space="0" w:color="auto"/>
              <w:bottom w:val="single" w:sz="6" w:space="0" w:color="auto"/>
              <w:right w:val="single" w:sz="6" w:space="0" w:color="auto"/>
            </w:tcBorders>
            <w:vAlign w:val="center"/>
          </w:tcPr>
          <w:p w14:paraId="2B22570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F72037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48</w:t>
            </w:r>
          </w:p>
        </w:tc>
        <w:tc>
          <w:tcPr>
            <w:tcW w:w="3100" w:type="dxa"/>
            <w:tcBorders>
              <w:top w:val="single" w:sz="6" w:space="0" w:color="auto"/>
              <w:left w:val="single" w:sz="6" w:space="0" w:color="auto"/>
              <w:bottom w:val="single" w:sz="6" w:space="0" w:color="auto"/>
              <w:right w:val="single" w:sz="6" w:space="0" w:color="auto"/>
            </w:tcBorders>
            <w:vAlign w:val="center"/>
          </w:tcPr>
          <w:p w14:paraId="33FB7DC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АТ "ПРАВЕКС БАНК",14360920Член Наглядової Ради (незалежний директор)</w:t>
            </w:r>
          </w:p>
          <w:p w14:paraId="52148F0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79BF328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3701D64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5C866A6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2BAC36D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6DA9C8ED"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BEC744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2050" w:type="dxa"/>
            <w:tcBorders>
              <w:top w:val="single" w:sz="6" w:space="0" w:color="auto"/>
              <w:left w:val="single" w:sz="6" w:space="0" w:color="auto"/>
              <w:bottom w:val="single" w:sz="6" w:space="0" w:color="auto"/>
              <w:right w:val="single" w:sz="6" w:space="0" w:color="auto"/>
            </w:tcBorders>
            <w:vAlign w:val="center"/>
          </w:tcPr>
          <w:p w14:paraId="4936223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Член Наглядової Ради Банку (незалежний 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3CCB379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Фабрiцiо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Маллен</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B20DB7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168F8FB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1C89172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1956</w:t>
            </w:r>
          </w:p>
        </w:tc>
        <w:tc>
          <w:tcPr>
            <w:tcW w:w="1000" w:type="dxa"/>
            <w:tcBorders>
              <w:top w:val="single" w:sz="6" w:space="0" w:color="auto"/>
              <w:left w:val="single" w:sz="6" w:space="0" w:color="auto"/>
              <w:bottom w:val="single" w:sz="6" w:space="0" w:color="auto"/>
              <w:right w:val="single" w:sz="6" w:space="0" w:color="auto"/>
            </w:tcBorders>
            <w:vAlign w:val="center"/>
          </w:tcPr>
          <w:p w14:paraId="524A0B6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DA57A1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45</w:t>
            </w:r>
          </w:p>
        </w:tc>
        <w:tc>
          <w:tcPr>
            <w:tcW w:w="3100" w:type="dxa"/>
            <w:tcBorders>
              <w:top w:val="single" w:sz="6" w:space="0" w:color="auto"/>
              <w:left w:val="single" w:sz="6" w:space="0" w:color="auto"/>
              <w:bottom w:val="single" w:sz="6" w:space="0" w:color="auto"/>
              <w:right w:val="single" w:sz="6" w:space="0" w:color="auto"/>
            </w:tcBorders>
            <w:vAlign w:val="center"/>
          </w:tcPr>
          <w:p w14:paraId="504A8DB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АТ "ПРАВЕКС БАНК"14360920 Член Наглядової Ради (незалежний директор)</w:t>
            </w:r>
          </w:p>
          <w:p w14:paraId="572C786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6013109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566FFAD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20F62A3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1EBDAD3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20B80547" w14:textId="77777777" w:rsidTr="00FA3E07">
        <w:trPr>
          <w:trHeight w:val="200"/>
        </w:trPr>
        <w:tc>
          <w:tcPr>
            <w:tcW w:w="550" w:type="dxa"/>
            <w:tcBorders>
              <w:top w:val="single" w:sz="6" w:space="0" w:color="auto"/>
              <w:bottom w:val="single" w:sz="6" w:space="0" w:color="auto"/>
              <w:right w:val="single" w:sz="6" w:space="0" w:color="auto"/>
            </w:tcBorders>
            <w:vAlign w:val="center"/>
          </w:tcPr>
          <w:p w14:paraId="258E18A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2050" w:type="dxa"/>
            <w:tcBorders>
              <w:top w:val="single" w:sz="6" w:space="0" w:color="auto"/>
              <w:left w:val="single" w:sz="6" w:space="0" w:color="auto"/>
              <w:bottom w:val="single" w:sz="6" w:space="0" w:color="auto"/>
              <w:right w:val="single" w:sz="6" w:space="0" w:color="auto"/>
            </w:tcBorders>
            <w:vAlign w:val="center"/>
          </w:tcPr>
          <w:p w14:paraId="5755399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Член Наглядової Ради Банку (представник </w:t>
            </w:r>
            <w:proofErr w:type="spellStart"/>
            <w:r w:rsidRPr="004229C1">
              <w:rPr>
                <w:rFonts w:ascii="Times New Roman" w:hAnsi="Times New Roman" w:cs="Times New Roman"/>
                <w:kern w:val="0"/>
                <w:sz w:val="20"/>
                <w:szCs w:val="20"/>
                <w:lang w:val="uk-UA"/>
              </w:rPr>
              <w:t>акцiонера</w:t>
            </w:r>
            <w:proofErr w:type="spellEnd"/>
            <w:r w:rsidRPr="004229C1">
              <w:rPr>
                <w:rFonts w:ascii="Times New Roman" w:hAnsi="Times New Roman" w:cs="Times New Roman"/>
                <w:kern w:val="0"/>
                <w:sz w:val="20"/>
                <w:szCs w:val="20"/>
                <w:lang w:val="uk-UA"/>
              </w:rPr>
              <w:t>)</w:t>
            </w:r>
          </w:p>
        </w:tc>
        <w:tc>
          <w:tcPr>
            <w:tcW w:w="2100" w:type="dxa"/>
            <w:tcBorders>
              <w:top w:val="single" w:sz="6" w:space="0" w:color="auto"/>
              <w:left w:val="single" w:sz="6" w:space="0" w:color="auto"/>
              <w:bottom w:val="single" w:sz="6" w:space="0" w:color="auto"/>
              <w:right w:val="single" w:sz="6" w:space="0" w:color="auto"/>
            </w:tcBorders>
            <w:vAlign w:val="center"/>
          </w:tcPr>
          <w:p w14:paraId="7B8FAED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Данiела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Бландiно</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23395D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20095A2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21D4C20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7A24F01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61BA93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37</w:t>
            </w:r>
          </w:p>
        </w:tc>
        <w:tc>
          <w:tcPr>
            <w:tcW w:w="3100" w:type="dxa"/>
            <w:tcBorders>
              <w:top w:val="single" w:sz="6" w:space="0" w:color="auto"/>
              <w:left w:val="single" w:sz="6" w:space="0" w:color="auto"/>
              <w:bottom w:val="single" w:sz="6" w:space="0" w:color="auto"/>
              <w:right w:val="single" w:sz="6" w:space="0" w:color="auto"/>
            </w:tcBorders>
            <w:vAlign w:val="center"/>
          </w:tcPr>
          <w:p w14:paraId="1E37EE1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С.п.А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Iталiя</w:t>
            </w:r>
            <w:proofErr w:type="spellEnd"/>
            <w:r w:rsidRPr="004229C1">
              <w:rPr>
                <w:rFonts w:ascii="Times New Roman" w:hAnsi="Times New Roman" w:cs="Times New Roman"/>
                <w:kern w:val="0"/>
                <w:sz w:val="20"/>
                <w:szCs w:val="20"/>
                <w:lang w:val="uk-UA"/>
              </w:rPr>
              <w:t xml:space="preserve">, 00799960158,керiвник </w:t>
            </w:r>
            <w:proofErr w:type="spellStart"/>
            <w:r w:rsidRPr="004229C1">
              <w:rPr>
                <w:rFonts w:ascii="Times New Roman" w:hAnsi="Times New Roman" w:cs="Times New Roman"/>
                <w:kern w:val="0"/>
                <w:sz w:val="20"/>
                <w:szCs w:val="20"/>
                <w:lang w:val="uk-UA"/>
              </w:rPr>
              <w:t>пiдроздiлу</w:t>
            </w:r>
            <w:proofErr w:type="spellEnd"/>
            <w:r w:rsidRPr="004229C1">
              <w:rPr>
                <w:rFonts w:ascii="Times New Roman" w:hAnsi="Times New Roman" w:cs="Times New Roman"/>
                <w:kern w:val="0"/>
                <w:sz w:val="20"/>
                <w:szCs w:val="20"/>
                <w:lang w:val="uk-UA"/>
              </w:rPr>
              <w:t xml:space="preserve"> залучення </w:t>
            </w:r>
            <w:proofErr w:type="spellStart"/>
            <w:r w:rsidRPr="004229C1">
              <w:rPr>
                <w:rFonts w:ascii="Times New Roman" w:hAnsi="Times New Roman" w:cs="Times New Roman"/>
                <w:kern w:val="0"/>
                <w:sz w:val="20"/>
                <w:szCs w:val="20"/>
                <w:lang w:val="uk-UA"/>
              </w:rPr>
              <w:t>партнерiв</w:t>
            </w:r>
            <w:proofErr w:type="spellEnd"/>
            <w:r w:rsidRPr="004229C1">
              <w:rPr>
                <w:rFonts w:ascii="Times New Roman" w:hAnsi="Times New Roman" w:cs="Times New Roman"/>
                <w:kern w:val="0"/>
                <w:sz w:val="20"/>
                <w:szCs w:val="20"/>
                <w:lang w:val="uk-UA"/>
              </w:rPr>
              <w:t xml:space="preserve"> до </w:t>
            </w:r>
            <w:proofErr w:type="spellStart"/>
            <w:r w:rsidRPr="004229C1">
              <w:rPr>
                <w:rFonts w:ascii="Times New Roman" w:hAnsi="Times New Roman" w:cs="Times New Roman"/>
                <w:kern w:val="0"/>
                <w:sz w:val="20"/>
                <w:szCs w:val="20"/>
                <w:lang w:val="uk-UA"/>
              </w:rPr>
              <w:t>трансформацiї</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кредитiв</w:t>
            </w:r>
            <w:proofErr w:type="spellEnd"/>
            <w:r w:rsidRPr="004229C1">
              <w:rPr>
                <w:rFonts w:ascii="Times New Roman" w:hAnsi="Times New Roman" w:cs="Times New Roman"/>
                <w:kern w:val="0"/>
                <w:sz w:val="20"/>
                <w:szCs w:val="20"/>
                <w:lang w:val="uk-UA"/>
              </w:rPr>
              <w:t xml:space="preserve"> (26.06.2018-26.10.2020), </w:t>
            </w: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пiдроздiлу</w:t>
            </w:r>
            <w:proofErr w:type="spellEnd"/>
            <w:r w:rsidRPr="004229C1">
              <w:rPr>
                <w:rFonts w:ascii="Times New Roman" w:hAnsi="Times New Roman" w:cs="Times New Roman"/>
                <w:kern w:val="0"/>
                <w:sz w:val="20"/>
                <w:szCs w:val="20"/>
                <w:lang w:val="uk-UA"/>
              </w:rPr>
              <w:t xml:space="preserve"> малого та середнього </w:t>
            </w:r>
            <w:proofErr w:type="spellStart"/>
            <w:r w:rsidRPr="004229C1">
              <w:rPr>
                <w:rFonts w:ascii="Times New Roman" w:hAnsi="Times New Roman" w:cs="Times New Roman"/>
                <w:kern w:val="0"/>
                <w:sz w:val="20"/>
                <w:szCs w:val="20"/>
                <w:lang w:val="uk-UA"/>
              </w:rPr>
              <w:t>бiзнесу</w:t>
            </w:r>
            <w:proofErr w:type="spellEnd"/>
            <w:r w:rsidRPr="004229C1">
              <w:rPr>
                <w:rFonts w:ascii="Times New Roman" w:hAnsi="Times New Roman" w:cs="Times New Roman"/>
                <w:kern w:val="0"/>
                <w:sz w:val="20"/>
                <w:szCs w:val="20"/>
                <w:lang w:val="uk-UA"/>
              </w:rPr>
              <w:t xml:space="preserve">  (27.10.2020-11.05.2023), </w:t>
            </w: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напрямку </w:t>
            </w:r>
            <w:proofErr w:type="spellStart"/>
            <w:r w:rsidRPr="004229C1">
              <w:rPr>
                <w:rFonts w:ascii="Times New Roman" w:hAnsi="Times New Roman" w:cs="Times New Roman"/>
                <w:kern w:val="0"/>
                <w:sz w:val="20"/>
                <w:szCs w:val="20"/>
                <w:lang w:val="uk-UA"/>
              </w:rPr>
              <w:t>клiєнтiв</w:t>
            </w:r>
            <w:proofErr w:type="spellEnd"/>
            <w:r w:rsidRPr="004229C1">
              <w:rPr>
                <w:rFonts w:ascii="Times New Roman" w:hAnsi="Times New Roman" w:cs="Times New Roman"/>
                <w:kern w:val="0"/>
                <w:sz w:val="20"/>
                <w:szCs w:val="20"/>
                <w:lang w:val="uk-UA"/>
              </w:rPr>
              <w:t xml:space="preserve"> малого та середнього </w:t>
            </w:r>
            <w:proofErr w:type="spellStart"/>
            <w:r w:rsidRPr="004229C1">
              <w:rPr>
                <w:rFonts w:ascii="Times New Roman" w:hAnsi="Times New Roman" w:cs="Times New Roman"/>
                <w:kern w:val="0"/>
                <w:sz w:val="20"/>
                <w:szCs w:val="20"/>
                <w:lang w:val="uk-UA"/>
              </w:rPr>
              <w:t>бiзнесу</w:t>
            </w:r>
            <w:proofErr w:type="spellEnd"/>
            <w:r w:rsidRPr="004229C1">
              <w:rPr>
                <w:rFonts w:ascii="Times New Roman" w:hAnsi="Times New Roman" w:cs="Times New Roman"/>
                <w:kern w:val="0"/>
                <w:sz w:val="20"/>
                <w:szCs w:val="20"/>
                <w:lang w:val="uk-UA"/>
              </w:rPr>
              <w:t xml:space="preserve"> та </w:t>
            </w:r>
            <w:proofErr w:type="spellStart"/>
            <w:r w:rsidRPr="004229C1">
              <w:rPr>
                <w:rFonts w:ascii="Times New Roman" w:hAnsi="Times New Roman" w:cs="Times New Roman"/>
                <w:kern w:val="0"/>
                <w:sz w:val="20"/>
                <w:szCs w:val="20"/>
                <w:lang w:val="uk-UA"/>
              </w:rPr>
              <w:t>комерцiйних</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банкiвських</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продуктiв</w:t>
            </w:r>
            <w:proofErr w:type="spellEnd"/>
            <w:r w:rsidRPr="004229C1">
              <w:rPr>
                <w:rFonts w:ascii="Times New Roman" w:hAnsi="Times New Roman" w:cs="Times New Roman"/>
                <w:kern w:val="0"/>
                <w:sz w:val="20"/>
                <w:szCs w:val="20"/>
                <w:lang w:val="uk-UA"/>
              </w:rPr>
              <w:t xml:space="preserve"> </w:t>
            </w:r>
          </w:p>
          <w:p w14:paraId="62B6927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111EE25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68DCD82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7B5E0A4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61BCBD5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332FC479"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EAF2C6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2050" w:type="dxa"/>
            <w:tcBorders>
              <w:top w:val="single" w:sz="6" w:space="0" w:color="auto"/>
              <w:left w:val="single" w:sz="6" w:space="0" w:color="auto"/>
              <w:bottom w:val="single" w:sz="6" w:space="0" w:color="auto"/>
              <w:right w:val="single" w:sz="6" w:space="0" w:color="auto"/>
            </w:tcBorders>
            <w:vAlign w:val="center"/>
          </w:tcPr>
          <w:p w14:paraId="3146C9A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Член Наглядової Ради Банку (представник </w:t>
            </w:r>
            <w:proofErr w:type="spellStart"/>
            <w:r w:rsidRPr="004229C1">
              <w:rPr>
                <w:rFonts w:ascii="Times New Roman" w:hAnsi="Times New Roman" w:cs="Times New Roman"/>
                <w:kern w:val="0"/>
                <w:sz w:val="20"/>
                <w:szCs w:val="20"/>
                <w:lang w:val="uk-UA"/>
              </w:rPr>
              <w:t>акцiонера</w:t>
            </w:r>
            <w:proofErr w:type="spellEnd"/>
            <w:r w:rsidRPr="004229C1">
              <w:rPr>
                <w:rFonts w:ascii="Times New Roman" w:hAnsi="Times New Roman" w:cs="Times New Roman"/>
                <w:kern w:val="0"/>
                <w:sz w:val="20"/>
                <w:szCs w:val="20"/>
                <w:lang w:val="uk-UA"/>
              </w:rPr>
              <w:t>)</w:t>
            </w:r>
          </w:p>
        </w:tc>
        <w:tc>
          <w:tcPr>
            <w:tcW w:w="2100" w:type="dxa"/>
            <w:tcBorders>
              <w:top w:val="single" w:sz="6" w:space="0" w:color="auto"/>
              <w:left w:val="single" w:sz="6" w:space="0" w:color="auto"/>
              <w:bottom w:val="single" w:sz="6" w:space="0" w:color="auto"/>
              <w:right w:val="single" w:sz="6" w:space="0" w:color="auto"/>
            </w:tcBorders>
            <w:vAlign w:val="center"/>
          </w:tcPr>
          <w:p w14:paraId="03B1DC0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Франческо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Дель</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Дженiо</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953281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6636375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48F548B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04F44F7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B99ECD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36</w:t>
            </w:r>
          </w:p>
        </w:tc>
        <w:tc>
          <w:tcPr>
            <w:tcW w:w="3100" w:type="dxa"/>
            <w:tcBorders>
              <w:top w:val="single" w:sz="6" w:space="0" w:color="auto"/>
              <w:left w:val="single" w:sz="6" w:space="0" w:color="auto"/>
              <w:bottom w:val="single" w:sz="6" w:space="0" w:color="auto"/>
              <w:right w:val="single" w:sz="6" w:space="0" w:color="auto"/>
            </w:tcBorders>
            <w:vAlign w:val="center"/>
          </w:tcPr>
          <w:p w14:paraId="4B1FAEB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Ексiмбанк</w:t>
            </w:r>
            <w:proofErr w:type="spellEnd"/>
            <w:r w:rsidRPr="004229C1">
              <w:rPr>
                <w:rFonts w:ascii="Times New Roman" w:hAnsi="Times New Roman" w:cs="Times New Roman"/>
                <w:kern w:val="0"/>
                <w:sz w:val="20"/>
                <w:szCs w:val="20"/>
                <w:lang w:val="uk-UA"/>
              </w:rPr>
              <w:t xml:space="preserve">, Молдова, 1002600010273, член Ради </w:t>
            </w:r>
            <w:proofErr w:type="spellStart"/>
            <w:r w:rsidRPr="004229C1">
              <w:rPr>
                <w:rFonts w:ascii="Times New Roman" w:hAnsi="Times New Roman" w:cs="Times New Roman"/>
                <w:kern w:val="0"/>
                <w:sz w:val="20"/>
                <w:szCs w:val="20"/>
                <w:lang w:val="uk-UA"/>
              </w:rPr>
              <w:t>директорiв</w:t>
            </w:r>
            <w:proofErr w:type="spellEnd"/>
            <w:r w:rsidRPr="004229C1">
              <w:rPr>
                <w:rFonts w:ascii="Times New Roman" w:hAnsi="Times New Roman" w:cs="Times New Roman"/>
                <w:kern w:val="0"/>
                <w:sz w:val="20"/>
                <w:szCs w:val="20"/>
                <w:lang w:val="uk-UA"/>
              </w:rPr>
              <w:t xml:space="preserve">, 22.12.2018-30.06.2023, СIБ Банк, Угорщина, 01-10-041004, член Наглядової Ради, 01.02.2014 30.04.2024,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Cанпаоло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С.п.А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Iталiя</w:t>
            </w:r>
            <w:proofErr w:type="spellEnd"/>
            <w:r w:rsidRPr="004229C1">
              <w:rPr>
                <w:rFonts w:ascii="Times New Roman" w:hAnsi="Times New Roman" w:cs="Times New Roman"/>
                <w:kern w:val="0"/>
                <w:sz w:val="20"/>
                <w:szCs w:val="20"/>
                <w:lang w:val="uk-UA"/>
              </w:rPr>
              <w:t xml:space="preserve">, 00799960158, Старший директор напряму роботи з непрацюючими активами, з 01.07.2014 по </w:t>
            </w:r>
            <w:proofErr w:type="spellStart"/>
            <w:r w:rsidRPr="004229C1">
              <w:rPr>
                <w:rFonts w:ascii="Times New Roman" w:hAnsi="Times New Roman" w:cs="Times New Roman"/>
                <w:kern w:val="0"/>
                <w:sz w:val="20"/>
                <w:szCs w:val="20"/>
                <w:lang w:val="uk-UA"/>
              </w:rPr>
              <w:t>теперiшнiй</w:t>
            </w:r>
            <w:proofErr w:type="spellEnd"/>
            <w:r w:rsidRPr="004229C1">
              <w:rPr>
                <w:rFonts w:ascii="Times New Roman" w:hAnsi="Times New Roman" w:cs="Times New Roman"/>
                <w:kern w:val="0"/>
                <w:sz w:val="20"/>
                <w:szCs w:val="20"/>
                <w:lang w:val="uk-UA"/>
              </w:rPr>
              <w:t xml:space="preserve"> час</w:t>
            </w:r>
          </w:p>
          <w:p w14:paraId="197DE48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0DB46D7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5DD8ACC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5C68FE6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42F45A0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7B605992"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A91135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2050" w:type="dxa"/>
            <w:tcBorders>
              <w:top w:val="single" w:sz="6" w:space="0" w:color="auto"/>
              <w:left w:val="single" w:sz="6" w:space="0" w:color="auto"/>
              <w:bottom w:val="single" w:sz="6" w:space="0" w:color="auto"/>
              <w:right w:val="single" w:sz="6" w:space="0" w:color="auto"/>
            </w:tcBorders>
            <w:vAlign w:val="center"/>
          </w:tcPr>
          <w:p w14:paraId="3A9F27E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Член Наглядової Ради Банку (представник </w:t>
            </w:r>
            <w:proofErr w:type="spellStart"/>
            <w:r w:rsidRPr="004229C1">
              <w:rPr>
                <w:rFonts w:ascii="Times New Roman" w:hAnsi="Times New Roman" w:cs="Times New Roman"/>
                <w:kern w:val="0"/>
                <w:sz w:val="20"/>
                <w:szCs w:val="20"/>
                <w:lang w:val="uk-UA"/>
              </w:rPr>
              <w:t>акцiонера</w:t>
            </w:r>
            <w:proofErr w:type="spellEnd"/>
            <w:r w:rsidRPr="004229C1">
              <w:rPr>
                <w:rFonts w:ascii="Times New Roman" w:hAnsi="Times New Roman" w:cs="Times New Roman"/>
                <w:kern w:val="0"/>
                <w:sz w:val="20"/>
                <w:szCs w:val="20"/>
                <w:lang w:val="uk-UA"/>
              </w:rPr>
              <w:t>)</w:t>
            </w:r>
          </w:p>
        </w:tc>
        <w:tc>
          <w:tcPr>
            <w:tcW w:w="2100" w:type="dxa"/>
            <w:tcBorders>
              <w:top w:val="single" w:sz="6" w:space="0" w:color="auto"/>
              <w:left w:val="single" w:sz="6" w:space="0" w:color="auto"/>
              <w:bottom w:val="single" w:sz="6" w:space="0" w:color="auto"/>
              <w:right w:val="single" w:sz="6" w:space="0" w:color="auto"/>
            </w:tcBorders>
            <w:vAlign w:val="center"/>
          </w:tcPr>
          <w:p w14:paraId="06CB819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Антонiо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Джованнi</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Марiя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Бергалiо</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8377D8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13D7B80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55BBB46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1966</w:t>
            </w:r>
          </w:p>
        </w:tc>
        <w:tc>
          <w:tcPr>
            <w:tcW w:w="1000" w:type="dxa"/>
            <w:tcBorders>
              <w:top w:val="single" w:sz="6" w:space="0" w:color="auto"/>
              <w:left w:val="single" w:sz="6" w:space="0" w:color="auto"/>
              <w:bottom w:val="single" w:sz="6" w:space="0" w:color="auto"/>
              <w:right w:val="single" w:sz="6" w:space="0" w:color="auto"/>
            </w:tcBorders>
            <w:vAlign w:val="center"/>
          </w:tcPr>
          <w:p w14:paraId="1D05387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C545E5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30</w:t>
            </w:r>
          </w:p>
        </w:tc>
        <w:tc>
          <w:tcPr>
            <w:tcW w:w="3100" w:type="dxa"/>
            <w:tcBorders>
              <w:top w:val="single" w:sz="6" w:space="0" w:color="auto"/>
              <w:left w:val="single" w:sz="6" w:space="0" w:color="auto"/>
              <w:bottom w:val="single" w:sz="6" w:space="0" w:color="auto"/>
              <w:right w:val="single" w:sz="6" w:space="0" w:color="auto"/>
            </w:tcBorders>
            <w:vAlign w:val="center"/>
          </w:tcPr>
          <w:p w14:paraId="7BB4D88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ВУБ </w:t>
            </w:r>
            <w:proofErr w:type="spellStart"/>
            <w:r w:rsidRPr="004229C1">
              <w:rPr>
                <w:rFonts w:ascii="Times New Roman" w:hAnsi="Times New Roman" w:cs="Times New Roman"/>
                <w:kern w:val="0"/>
                <w:sz w:val="20"/>
                <w:szCs w:val="20"/>
                <w:lang w:val="uk-UA"/>
              </w:rPr>
              <w:t>Лiзинг</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а.с</w:t>
            </w:r>
            <w:proofErr w:type="spellEnd"/>
            <w:r w:rsidRPr="004229C1">
              <w:rPr>
                <w:rFonts w:ascii="Times New Roman" w:hAnsi="Times New Roman" w:cs="Times New Roman"/>
                <w:kern w:val="0"/>
                <w:sz w:val="20"/>
                <w:szCs w:val="20"/>
                <w:lang w:val="uk-UA"/>
              </w:rPr>
              <w:t xml:space="preserve">., Словаччина, 31320155, член Наглядової Ради, 01.10.2014 - 30.06.2020;Всеобецна </w:t>
            </w:r>
            <w:proofErr w:type="spellStart"/>
            <w:r w:rsidRPr="004229C1">
              <w:rPr>
                <w:rFonts w:ascii="Times New Roman" w:hAnsi="Times New Roman" w:cs="Times New Roman"/>
                <w:kern w:val="0"/>
                <w:sz w:val="20"/>
                <w:szCs w:val="20"/>
                <w:lang w:val="uk-UA"/>
              </w:rPr>
              <w:t>Уверова</w:t>
            </w:r>
            <w:proofErr w:type="spellEnd"/>
            <w:r w:rsidRPr="004229C1">
              <w:rPr>
                <w:rFonts w:ascii="Times New Roman" w:hAnsi="Times New Roman" w:cs="Times New Roman"/>
                <w:kern w:val="0"/>
                <w:sz w:val="20"/>
                <w:szCs w:val="20"/>
                <w:lang w:val="uk-UA"/>
              </w:rPr>
              <w:t xml:space="preserve"> Банк </w:t>
            </w:r>
            <w:proofErr w:type="spellStart"/>
            <w:r w:rsidRPr="004229C1">
              <w:rPr>
                <w:rFonts w:ascii="Times New Roman" w:hAnsi="Times New Roman" w:cs="Times New Roman"/>
                <w:kern w:val="0"/>
                <w:sz w:val="20"/>
                <w:szCs w:val="20"/>
                <w:lang w:val="uk-UA"/>
              </w:rPr>
              <w:t>а.с</w:t>
            </w:r>
            <w:proofErr w:type="spellEnd"/>
            <w:r w:rsidRPr="004229C1">
              <w:rPr>
                <w:rFonts w:ascii="Times New Roman" w:hAnsi="Times New Roman" w:cs="Times New Roman"/>
                <w:kern w:val="0"/>
                <w:sz w:val="20"/>
                <w:szCs w:val="20"/>
                <w:lang w:val="uk-UA"/>
              </w:rPr>
              <w:t xml:space="preserve">. Словаччина, 31320155, член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Банку та Головний </w:t>
            </w:r>
            <w:proofErr w:type="spellStart"/>
            <w:r w:rsidRPr="004229C1">
              <w:rPr>
                <w:rFonts w:ascii="Times New Roman" w:hAnsi="Times New Roman" w:cs="Times New Roman"/>
                <w:kern w:val="0"/>
                <w:sz w:val="20"/>
                <w:szCs w:val="20"/>
                <w:lang w:val="uk-UA"/>
              </w:rPr>
              <w:t>вiдповiдальний</w:t>
            </w:r>
            <w:proofErr w:type="spellEnd"/>
            <w:r w:rsidRPr="004229C1">
              <w:rPr>
                <w:rFonts w:ascii="Times New Roman" w:hAnsi="Times New Roman" w:cs="Times New Roman"/>
                <w:kern w:val="0"/>
                <w:sz w:val="20"/>
                <w:szCs w:val="20"/>
                <w:lang w:val="uk-UA"/>
              </w:rPr>
              <w:t xml:space="preserve"> з питань </w:t>
            </w:r>
            <w:proofErr w:type="spellStart"/>
            <w:r w:rsidRPr="004229C1">
              <w:rPr>
                <w:rFonts w:ascii="Times New Roman" w:hAnsi="Times New Roman" w:cs="Times New Roman"/>
                <w:kern w:val="0"/>
                <w:sz w:val="20"/>
                <w:szCs w:val="20"/>
                <w:lang w:val="uk-UA"/>
              </w:rPr>
              <w:t>фiнансiв</w:t>
            </w:r>
            <w:proofErr w:type="spellEnd"/>
            <w:r w:rsidRPr="004229C1">
              <w:rPr>
                <w:rFonts w:ascii="Times New Roman" w:hAnsi="Times New Roman" w:cs="Times New Roman"/>
                <w:kern w:val="0"/>
                <w:sz w:val="20"/>
                <w:szCs w:val="20"/>
                <w:lang w:val="uk-UA"/>
              </w:rPr>
              <w:t xml:space="preserve">, 10.01.2014 -30.06.2020;Консьюмер </w:t>
            </w:r>
            <w:proofErr w:type="spellStart"/>
            <w:r w:rsidRPr="004229C1">
              <w:rPr>
                <w:rFonts w:ascii="Times New Roman" w:hAnsi="Times New Roman" w:cs="Times New Roman"/>
                <w:kern w:val="0"/>
                <w:sz w:val="20"/>
                <w:szCs w:val="20"/>
                <w:lang w:val="uk-UA"/>
              </w:rPr>
              <w:t>Фiнанс</w:t>
            </w:r>
            <w:proofErr w:type="spellEnd"/>
            <w:r w:rsidRPr="004229C1">
              <w:rPr>
                <w:rFonts w:ascii="Times New Roman" w:hAnsi="Times New Roman" w:cs="Times New Roman"/>
                <w:kern w:val="0"/>
                <w:sz w:val="20"/>
                <w:szCs w:val="20"/>
                <w:lang w:val="uk-UA"/>
              </w:rPr>
              <w:t xml:space="preserve"> Холдинг Чеська </w:t>
            </w:r>
            <w:proofErr w:type="spellStart"/>
            <w:r w:rsidRPr="004229C1">
              <w:rPr>
                <w:rFonts w:ascii="Times New Roman" w:hAnsi="Times New Roman" w:cs="Times New Roman"/>
                <w:kern w:val="0"/>
                <w:sz w:val="20"/>
                <w:szCs w:val="20"/>
                <w:lang w:val="uk-UA"/>
              </w:rPr>
              <w:t>республiка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а.с</w:t>
            </w:r>
            <w:proofErr w:type="spellEnd"/>
            <w:r w:rsidRPr="004229C1">
              <w:rPr>
                <w:rFonts w:ascii="Times New Roman" w:hAnsi="Times New Roman" w:cs="Times New Roman"/>
                <w:kern w:val="0"/>
                <w:sz w:val="20"/>
                <w:szCs w:val="20"/>
                <w:lang w:val="uk-UA"/>
              </w:rPr>
              <w:t xml:space="preserve">., Словаччина, 02535697732, член Ради </w:t>
            </w:r>
            <w:proofErr w:type="spellStart"/>
            <w:r w:rsidRPr="004229C1">
              <w:rPr>
                <w:rFonts w:ascii="Times New Roman" w:hAnsi="Times New Roman" w:cs="Times New Roman"/>
                <w:kern w:val="0"/>
                <w:sz w:val="20"/>
                <w:szCs w:val="20"/>
                <w:lang w:val="uk-UA"/>
              </w:rPr>
              <w:t>директорiв</w:t>
            </w:r>
            <w:proofErr w:type="spellEnd"/>
            <w:r w:rsidRPr="004229C1">
              <w:rPr>
                <w:rFonts w:ascii="Times New Roman" w:hAnsi="Times New Roman" w:cs="Times New Roman"/>
                <w:kern w:val="0"/>
                <w:sz w:val="20"/>
                <w:szCs w:val="20"/>
                <w:lang w:val="uk-UA"/>
              </w:rPr>
              <w:t xml:space="preserve">, 01.01.2018 - 01.10.2019;Прiвредна Банка Загреб ДД, </w:t>
            </w:r>
            <w:proofErr w:type="spellStart"/>
            <w:r w:rsidRPr="004229C1">
              <w:rPr>
                <w:rFonts w:ascii="Times New Roman" w:hAnsi="Times New Roman" w:cs="Times New Roman"/>
                <w:kern w:val="0"/>
                <w:sz w:val="20"/>
                <w:szCs w:val="20"/>
                <w:lang w:val="uk-UA"/>
              </w:rPr>
              <w:t>Хорватiя</w:t>
            </w:r>
            <w:proofErr w:type="spellEnd"/>
            <w:r w:rsidRPr="004229C1">
              <w:rPr>
                <w:rFonts w:ascii="Times New Roman" w:hAnsi="Times New Roman" w:cs="Times New Roman"/>
                <w:kern w:val="0"/>
                <w:sz w:val="20"/>
                <w:szCs w:val="20"/>
                <w:lang w:val="uk-UA"/>
              </w:rPr>
              <w:t xml:space="preserve">, 02535697732, уповноважена особа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член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фiнансовий</w:t>
            </w:r>
            <w:proofErr w:type="spellEnd"/>
            <w:r w:rsidRPr="004229C1">
              <w:rPr>
                <w:rFonts w:ascii="Times New Roman" w:hAnsi="Times New Roman" w:cs="Times New Roman"/>
                <w:kern w:val="0"/>
                <w:sz w:val="20"/>
                <w:szCs w:val="20"/>
                <w:lang w:val="uk-UA"/>
              </w:rPr>
              <w:t xml:space="preserve"> директор з 01.07.2020 -31.05.2024, Банк </w:t>
            </w:r>
            <w:proofErr w:type="spellStart"/>
            <w:r w:rsidRPr="004229C1">
              <w:rPr>
                <w:rFonts w:ascii="Times New Roman" w:hAnsi="Times New Roman" w:cs="Times New Roman"/>
                <w:kern w:val="0"/>
                <w:sz w:val="20"/>
                <w:szCs w:val="20"/>
                <w:lang w:val="uk-UA"/>
              </w:rPr>
              <w:t>Олександрiї</w:t>
            </w:r>
            <w:proofErr w:type="spellEnd"/>
            <w:r w:rsidRPr="004229C1">
              <w:rPr>
                <w:rFonts w:ascii="Times New Roman" w:hAnsi="Times New Roman" w:cs="Times New Roman"/>
                <w:kern w:val="0"/>
                <w:sz w:val="20"/>
                <w:szCs w:val="20"/>
                <w:lang w:val="uk-UA"/>
              </w:rPr>
              <w:t xml:space="preserve">, Єгипетська </w:t>
            </w:r>
            <w:proofErr w:type="spellStart"/>
            <w:r w:rsidRPr="004229C1">
              <w:rPr>
                <w:rFonts w:ascii="Times New Roman" w:hAnsi="Times New Roman" w:cs="Times New Roman"/>
                <w:kern w:val="0"/>
                <w:sz w:val="20"/>
                <w:szCs w:val="20"/>
                <w:lang w:val="uk-UA"/>
              </w:rPr>
              <w:t>акцiонерна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компанiя</w:t>
            </w:r>
            <w:proofErr w:type="spellEnd"/>
            <w:r w:rsidRPr="004229C1">
              <w:rPr>
                <w:rFonts w:ascii="Times New Roman" w:hAnsi="Times New Roman" w:cs="Times New Roman"/>
                <w:kern w:val="0"/>
                <w:sz w:val="20"/>
                <w:szCs w:val="20"/>
                <w:lang w:val="uk-UA"/>
              </w:rPr>
              <w:t xml:space="preserve">, Група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з 01.06.2024, Заступник Виконавчого директора</w:t>
            </w:r>
          </w:p>
          <w:p w14:paraId="63E446B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47794B1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1343B50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22.04.2024</w:t>
            </w:r>
          </w:p>
          <w:p w14:paraId="2784ECC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до </w:t>
            </w:r>
            <w:proofErr w:type="spellStart"/>
            <w:r w:rsidRPr="004229C1">
              <w:rPr>
                <w:rFonts w:ascii="Times New Roman" w:hAnsi="Times New Roman" w:cs="Times New Roman"/>
                <w:kern w:val="0"/>
                <w:sz w:val="20"/>
                <w:szCs w:val="20"/>
                <w:lang w:val="uk-UA"/>
              </w:rPr>
              <w:t>рiчних</w:t>
            </w:r>
            <w:proofErr w:type="spellEnd"/>
            <w:r w:rsidRPr="004229C1">
              <w:rPr>
                <w:rFonts w:ascii="Times New Roman" w:hAnsi="Times New Roman" w:cs="Times New Roman"/>
                <w:kern w:val="0"/>
                <w:sz w:val="20"/>
                <w:szCs w:val="20"/>
                <w:lang w:val="uk-UA"/>
              </w:rPr>
              <w:t xml:space="preserve"> Загальних </w:t>
            </w:r>
            <w:proofErr w:type="spellStart"/>
            <w:r w:rsidRPr="004229C1">
              <w:rPr>
                <w:rFonts w:ascii="Times New Roman" w:hAnsi="Times New Roman" w:cs="Times New Roman"/>
                <w:kern w:val="0"/>
                <w:sz w:val="20"/>
                <w:szCs w:val="20"/>
                <w:lang w:val="uk-UA"/>
              </w:rPr>
              <w:t>Зборiв</w:t>
            </w:r>
            <w:proofErr w:type="spellEnd"/>
            <w:r w:rsidRPr="004229C1">
              <w:rPr>
                <w:rFonts w:ascii="Times New Roman" w:hAnsi="Times New Roman" w:cs="Times New Roman"/>
                <w:kern w:val="0"/>
                <w:sz w:val="20"/>
                <w:szCs w:val="20"/>
                <w:lang w:val="uk-UA"/>
              </w:rPr>
              <w:t xml:space="preserve"> у 2027 </w:t>
            </w:r>
            <w:proofErr w:type="spellStart"/>
            <w:r w:rsidRPr="004229C1">
              <w:rPr>
                <w:rFonts w:ascii="Times New Roman" w:hAnsi="Times New Roman" w:cs="Times New Roman"/>
                <w:kern w:val="0"/>
                <w:sz w:val="20"/>
                <w:szCs w:val="20"/>
                <w:lang w:val="uk-UA"/>
              </w:rPr>
              <w:t>роцi</w:t>
            </w:r>
            <w:proofErr w:type="spellEnd"/>
          </w:p>
        </w:tc>
        <w:tc>
          <w:tcPr>
            <w:tcW w:w="1400" w:type="dxa"/>
            <w:tcBorders>
              <w:top w:val="single" w:sz="6" w:space="0" w:color="auto"/>
              <w:left w:val="single" w:sz="6" w:space="0" w:color="auto"/>
              <w:bottom w:val="single" w:sz="6" w:space="0" w:color="auto"/>
            </w:tcBorders>
            <w:vAlign w:val="center"/>
          </w:tcPr>
          <w:p w14:paraId="317BF48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bl>
    <w:p w14:paraId="3A592C47"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p>
    <w:p w14:paraId="0A046B8D"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p>
    <w:p w14:paraId="669EA5D6"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p>
    <w:p w14:paraId="5D82A041"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p>
    <w:p w14:paraId="6F4CE39F"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5E6C62" w:rsidRPr="004229C1" w14:paraId="12AF4301" w14:textId="77777777" w:rsidTr="00FA3E07">
        <w:trPr>
          <w:trHeight w:val="200"/>
        </w:trPr>
        <w:tc>
          <w:tcPr>
            <w:tcW w:w="550" w:type="dxa"/>
            <w:tcBorders>
              <w:top w:val="single" w:sz="6" w:space="0" w:color="auto"/>
              <w:bottom w:val="single" w:sz="6" w:space="0" w:color="auto"/>
              <w:right w:val="single" w:sz="6" w:space="0" w:color="auto"/>
            </w:tcBorders>
            <w:vAlign w:val="center"/>
          </w:tcPr>
          <w:p w14:paraId="73C545A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720DA09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0FD665A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2F064BF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F9D71E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627EB6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47EE6F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436FB16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2EF5994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1F052E7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4D4CC5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Непогашена судимість за корисливі та посадові злочини (Так/Ні)</w:t>
            </w:r>
          </w:p>
        </w:tc>
      </w:tr>
      <w:tr w:rsidR="005E6C62" w:rsidRPr="004229C1" w14:paraId="77ECAD1A" w14:textId="77777777" w:rsidTr="00FA3E07">
        <w:trPr>
          <w:trHeight w:val="200"/>
        </w:trPr>
        <w:tc>
          <w:tcPr>
            <w:tcW w:w="550" w:type="dxa"/>
            <w:tcBorders>
              <w:top w:val="single" w:sz="6" w:space="0" w:color="auto"/>
              <w:bottom w:val="single" w:sz="6" w:space="0" w:color="auto"/>
              <w:right w:val="single" w:sz="6" w:space="0" w:color="auto"/>
            </w:tcBorders>
            <w:vAlign w:val="center"/>
          </w:tcPr>
          <w:p w14:paraId="68AA2F5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63E6FC5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14:paraId="2F6C5AD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14:paraId="6AE6E3B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14:paraId="36BBDBD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14:paraId="5FEDD5F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14:paraId="42375A0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14:paraId="60856F7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14:paraId="7A123FE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14:paraId="2929B38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10</w:t>
            </w:r>
          </w:p>
        </w:tc>
        <w:tc>
          <w:tcPr>
            <w:tcW w:w="1400" w:type="dxa"/>
            <w:tcBorders>
              <w:top w:val="single" w:sz="6" w:space="0" w:color="auto"/>
              <w:left w:val="single" w:sz="6" w:space="0" w:color="auto"/>
              <w:bottom w:val="single" w:sz="6" w:space="0" w:color="auto"/>
            </w:tcBorders>
            <w:vAlign w:val="center"/>
          </w:tcPr>
          <w:p w14:paraId="3FD8B6E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11</w:t>
            </w:r>
          </w:p>
        </w:tc>
      </w:tr>
      <w:tr w:rsidR="005E6C62" w:rsidRPr="004229C1" w14:paraId="05D0AE99"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DB9B6B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68A305C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Голова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Банку</w:t>
            </w:r>
          </w:p>
        </w:tc>
        <w:tc>
          <w:tcPr>
            <w:tcW w:w="2100" w:type="dxa"/>
            <w:tcBorders>
              <w:top w:val="single" w:sz="6" w:space="0" w:color="auto"/>
              <w:left w:val="single" w:sz="6" w:space="0" w:color="auto"/>
              <w:bottom w:val="single" w:sz="6" w:space="0" w:color="auto"/>
              <w:right w:val="single" w:sz="6" w:space="0" w:color="auto"/>
            </w:tcBorders>
            <w:vAlign w:val="center"/>
          </w:tcPr>
          <w:p w14:paraId="5120D2A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Коррiас</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Джанлука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733ED93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4D20E14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0170802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53EFF8B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826051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33</w:t>
            </w:r>
          </w:p>
        </w:tc>
        <w:tc>
          <w:tcPr>
            <w:tcW w:w="3100" w:type="dxa"/>
            <w:tcBorders>
              <w:top w:val="single" w:sz="6" w:space="0" w:color="auto"/>
              <w:left w:val="single" w:sz="6" w:space="0" w:color="auto"/>
              <w:bottom w:val="single" w:sz="6" w:space="0" w:color="auto"/>
              <w:right w:val="single" w:sz="6" w:space="0" w:color="auto"/>
            </w:tcBorders>
            <w:vAlign w:val="center"/>
          </w:tcPr>
          <w:p w14:paraId="259EED0C" w14:textId="70CDF73B"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Голова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13.12.2019-10.06.2021 радник голови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11.06.2021-30.07.2021 Банк </w:t>
            </w:r>
            <w:proofErr w:type="spellStart"/>
            <w:r w:rsidRPr="004229C1">
              <w:rPr>
                <w:rFonts w:ascii="Times New Roman" w:hAnsi="Times New Roman" w:cs="Times New Roman"/>
                <w:kern w:val="0"/>
                <w:sz w:val="20"/>
                <w:szCs w:val="20"/>
                <w:lang w:val="uk-UA"/>
              </w:rPr>
              <w:t>Олександрiя</w:t>
            </w:r>
            <w:proofErr w:type="spellEnd"/>
            <w:r w:rsidRPr="004229C1">
              <w:rPr>
                <w:rFonts w:ascii="Times New Roman" w:hAnsi="Times New Roman" w:cs="Times New Roman"/>
                <w:kern w:val="0"/>
                <w:sz w:val="20"/>
                <w:szCs w:val="20"/>
                <w:lang w:val="uk-UA"/>
              </w:rPr>
              <w:t xml:space="preserve"> (належить до групи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Єгипет 665029200 виконавчий член Ради </w:t>
            </w:r>
            <w:proofErr w:type="spellStart"/>
            <w:r w:rsidRPr="004229C1">
              <w:rPr>
                <w:rFonts w:ascii="Times New Roman" w:hAnsi="Times New Roman" w:cs="Times New Roman"/>
                <w:kern w:val="0"/>
                <w:sz w:val="20"/>
                <w:szCs w:val="20"/>
                <w:lang w:val="uk-UA"/>
              </w:rPr>
              <w:t>директорiв</w:t>
            </w:r>
            <w:proofErr w:type="spellEnd"/>
            <w:r w:rsidRPr="004229C1">
              <w:rPr>
                <w:rFonts w:ascii="Times New Roman" w:hAnsi="Times New Roman" w:cs="Times New Roman"/>
                <w:kern w:val="0"/>
                <w:sz w:val="20"/>
                <w:szCs w:val="20"/>
                <w:lang w:val="uk-UA"/>
              </w:rPr>
              <w:t xml:space="preserve"> та заступник генерального директора 01.08.2021-31.10.2022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С.п.А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Iталiя</w:t>
            </w:r>
            <w:proofErr w:type="spellEnd"/>
            <w:r w:rsidRPr="004229C1">
              <w:rPr>
                <w:rFonts w:ascii="Times New Roman" w:hAnsi="Times New Roman" w:cs="Times New Roman"/>
                <w:kern w:val="0"/>
                <w:sz w:val="20"/>
                <w:szCs w:val="20"/>
                <w:lang w:val="uk-UA"/>
              </w:rPr>
              <w:t xml:space="preserve"> 00799960158 старший менеджер у </w:t>
            </w:r>
            <w:proofErr w:type="spellStart"/>
            <w:r w:rsidRPr="004229C1">
              <w:rPr>
                <w:rFonts w:ascii="Times New Roman" w:hAnsi="Times New Roman" w:cs="Times New Roman"/>
                <w:kern w:val="0"/>
                <w:sz w:val="20"/>
                <w:szCs w:val="20"/>
                <w:lang w:val="uk-UA"/>
              </w:rPr>
              <w:t>штатi</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керiвника</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мiжнародних</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дочiрнiх</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банкiв</w:t>
            </w:r>
            <w:proofErr w:type="spellEnd"/>
            <w:r w:rsidRPr="004229C1">
              <w:rPr>
                <w:rFonts w:ascii="Times New Roman" w:hAnsi="Times New Roman" w:cs="Times New Roman"/>
                <w:kern w:val="0"/>
                <w:sz w:val="20"/>
                <w:szCs w:val="20"/>
                <w:lang w:val="uk-UA"/>
              </w:rPr>
              <w:t xml:space="preserve"> 01.11.2022-31.07.2022</w:t>
            </w:r>
          </w:p>
          <w:p w14:paraId="5CF8B21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4BD4CFD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3E35F00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01.08.2023</w:t>
            </w:r>
          </w:p>
          <w:p w14:paraId="3646FC1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31.12.2025</w:t>
            </w:r>
          </w:p>
        </w:tc>
        <w:tc>
          <w:tcPr>
            <w:tcW w:w="1400" w:type="dxa"/>
            <w:tcBorders>
              <w:top w:val="single" w:sz="6" w:space="0" w:color="auto"/>
              <w:left w:val="single" w:sz="6" w:space="0" w:color="auto"/>
              <w:bottom w:val="single" w:sz="6" w:space="0" w:color="auto"/>
            </w:tcBorders>
            <w:vAlign w:val="center"/>
          </w:tcPr>
          <w:p w14:paraId="5C42B2C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0923DD98" w14:textId="77777777" w:rsidTr="00FA3E07">
        <w:trPr>
          <w:trHeight w:val="200"/>
        </w:trPr>
        <w:tc>
          <w:tcPr>
            <w:tcW w:w="550" w:type="dxa"/>
            <w:tcBorders>
              <w:top w:val="single" w:sz="6" w:space="0" w:color="auto"/>
              <w:bottom w:val="single" w:sz="6" w:space="0" w:color="auto"/>
              <w:right w:val="single" w:sz="6" w:space="0" w:color="auto"/>
            </w:tcBorders>
            <w:vAlign w:val="center"/>
          </w:tcPr>
          <w:p w14:paraId="31C6C93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050" w:type="dxa"/>
            <w:tcBorders>
              <w:top w:val="single" w:sz="6" w:space="0" w:color="auto"/>
              <w:left w:val="single" w:sz="6" w:space="0" w:color="auto"/>
              <w:bottom w:val="single" w:sz="6" w:space="0" w:color="auto"/>
              <w:right w:val="single" w:sz="6" w:space="0" w:color="auto"/>
            </w:tcBorders>
            <w:vAlign w:val="center"/>
          </w:tcPr>
          <w:p w14:paraId="3221640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Перший Заступник Голови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член </w:t>
            </w:r>
            <w:proofErr w:type="spellStart"/>
            <w:r w:rsidRPr="004229C1">
              <w:rPr>
                <w:rFonts w:ascii="Times New Roman" w:hAnsi="Times New Roman" w:cs="Times New Roman"/>
                <w:kern w:val="0"/>
                <w:sz w:val="20"/>
                <w:szCs w:val="20"/>
                <w:lang w:val="uk-UA"/>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4607F4E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Андреа</w:t>
            </w:r>
            <w:proofErr w:type="spellEnd"/>
            <w:r w:rsidRPr="004229C1">
              <w:rPr>
                <w:rFonts w:ascii="Times New Roman" w:hAnsi="Times New Roman" w:cs="Times New Roman"/>
                <w:kern w:val="0"/>
                <w:sz w:val="20"/>
                <w:szCs w:val="20"/>
                <w:lang w:val="uk-UA"/>
              </w:rPr>
              <w:t xml:space="preserve"> Де </w:t>
            </w:r>
            <w:proofErr w:type="spellStart"/>
            <w:r w:rsidRPr="004229C1">
              <w:rPr>
                <w:rFonts w:ascii="Times New Roman" w:hAnsi="Times New Roman" w:cs="Times New Roman"/>
                <w:kern w:val="0"/>
                <w:sz w:val="20"/>
                <w:szCs w:val="20"/>
                <w:lang w:val="uk-UA"/>
              </w:rPr>
              <w:t>Мiкелiс</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3A4A316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4B5547A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21ABB83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1964</w:t>
            </w:r>
          </w:p>
        </w:tc>
        <w:tc>
          <w:tcPr>
            <w:tcW w:w="1000" w:type="dxa"/>
            <w:tcBorders>
              <w:top w:val="single" w:sz="6" w:space="0" w:color="auto"/>
              <w:left w:val="single" w:sz="6" w:space="0" w:color="auto"/>
              <w:bottom w:val="single" w:sz="6" w:space="0" w:color="auto"/>
              <w:right w:val="single" w:sz="6" w:space="0" w:color="auto"/>
            </w:tcBorders>
            <w:vAlign w:val="center"/>
          </w:tcPr>
          <w:p w14:paraId="53C65C2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BC97BD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34</w:t>
            </w:r>
          </w:p>
        </w:tc>
        <w:tc>
          <w:tcPr>
            <w:tcW w:w="3100" w:type="dxa"/>
            <w:tcBorders>
              <w:top w:val="single" w:sz="6" w:space="0" w:color="auto"/>
              <w:left w:val="single" w:sz="6" w:space="0" w:color="auto"/>
              <w:bottom w:val="single" w:sz="6" w:space="0" w:color="auto"/>
              <w:right w:val="single" w:sz="6" w:space="0" w:color="auto"/>
            </w:tcBorders>
            <w:vAlign w:val="center"/>
          </w:tcPr>
          <w:p w14:paraId="7BA19C4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Радник Голови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04.04.2024-21.08.2024Iнтеза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Румунiя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Ес.Ей</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комерцiйний</w:t>
            </w:r>
            <w:proofErr w:type="spellEnd"/>
            <w:r w:rsidRPr="004229C1">
              <w:rPr>
                <w:rFonts w:ascii="Times New Roman" w:hAnsi="Times New Roman" w:cs="Times New Roman"/>
                <w:kern w:val="0"/>
                <w:sz w:val="20"/>
                <w:szCs w:val="20"/>
                <w:lang w:val="uk-UA"/>
              </w:rPr>
              <w:t xml:space="preserve"> банк (належить до Групи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8145422 Виконавчий член Ради </w:t>
            </w:r>
            <w:proofErr w:type="spellStart"/>
            <w:r w:rsidRPr="004229C1">
              <w:rPr>
                <w:rFonts w:ascii="Times New Roman" w:hAnsi="Times New Roman" w:cs="Times New Roman"/>
                <w:kern w:val="0"/>
                <w:sz w:val="20"/>
                <w:szCs w:val="20"/>
                <w:lang w:val="uk-UA"/>
              </w:rPr>
              <w:t>директорiв</w:t>
            </w:r>
            <w:proofErr w:type="spellEnd"/>
            <w:r w:rsidRPr="004229C1">
              <w:rPr>
                <w:rFonts w:ascii="Times New Roman" w:hAnsi="Times New Roman" w:cs="Times New Roman"/>
                <w:kern w:val="0"/>
                <w:sz w:val="20"/>
                <w:szCs w:val="20"/>
                <w:lang w:val="uk-UA"/>
              </w:rPr>
              <w:t xml:space="preserve"> 23.11.2018-28.03.2024ЕКСЕЛIЯ </w:t>
            </w:r>
            <w:proofErr w:type="spellStart"/>
            <w:r w:rsidRPr="004229C1">
              <w:rPr>
                <w:rFonts w:ascii="Times New Roman" w:hAnsi="Times New Roman" w:cs="Times New Roman"/>
                <w:kern w:val="0"/>
                <w:sz w:val="20"/>
                <w:szCs w:val="20"/>
                <w:lang w:val="uk-UA"/>
              </w:rPr>
              <w:t>Ес.Ер.Ел</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компанiя</w:t>
            </w:r>
            <w:proofErr w:type="spellEnd"/>
            <w:r w:rsidRPr="004229C1">
              <w:rPr>
                <w:rFonts w:ascii="Times New Roman" w:hAnsi="Times New Roman" w:cs="Times New Roman"/>
                <w:kern w:val="0"/>
                <w:sz w:val="20"/>
                <w:szCs w:val="20"/>
                <w:lang w:val="uk-UA"/>
              </w:rPr>
              <w:t xml:space="preserve"> належить до Групи </w:t>
            </w:r>
            <w:proofErr w:type="spellStart"/>
            <w:r w:rsidRPr="004229C1">
              <w:rPr>
                <w:rFonts w:ascii="Times New Roman" w:hAnsi="Times New Roman" w:cs="Times New Roman"/>
                <w:kern w:val="0"/>
                <w:sz w:val="20"/>
                <w:szCs w:val="20"/>
                <w:lang w:val="uk-UA"/>
              </w:rPr>
              <w:t>Iнтеза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Санпаоло</w:t>
            </w:r>
            <w:proofErr w:type="spellEnd"/>
            <w:r w:rsidRPr="004229C1">
              <w:rPr>
                <w:rFonts w:ascii="Times New Roman" w:hAnsi="Times New Roman" w:cs="Times New Roman"/>
                <w:kern w:val="0"/>
                <w:sz w:val="20"/>
                <w:szCs w:val="20"/>
                <w:lang w:val="uk-UA"/>
              </w:rPr>
              <w:t xml:space="preserve">) 25586445 Невиконавчий член Ради </w:t>
            </w:r>
            <w:proofErr w:type="spellStart"/>
            <w:r w:rsidRPr="004229C1">
              <w:rPr>
                <w:rFonts w:ascii="Times New Roman" w:hAnsi="Times New Roman" w:cs="Times New Roman"/>
                <w:kern w:val="0"/>
                <w:sz w:val="20"/>
                <w:szCs w:val="20"/>
                <w:lang w:val="uk-UA"/>
              </w:rPr>
              <w:t>директорiв</w:t>
            </w:r>
            <w:proofErr w:type="spellEnd"/>
            <w:r w:rsidRPr="004229C1">
              <w:rPr>
                <w:rFonts w:ascii="Times New Roman" w:hAnsi="Times New Roman" w:cs="Times New Roman"/>
                <w:kern w:val="0"/>
                <w:sz w:val="20"/>
                <w:szCs w:val="20"/>
                <w:lang w:val="uk-UA"/>
              </w:rPr>
              <w:t xml:space="preserve"> 12.04.2018-09.04.2024 </w:t>
            </w:r>
          </w:p>
          <w:p w14:paraId="01F47B3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1B272AA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1400" w:type="dxa"/>
            <w:tcBorders>
              <w:top w:val="single" w:sz="6" w:space="0" w:color="auto"/>
              <w:left w:val="single" w:sz="6" w:space="0" w:color="auto"/>
              <w:bottom w:val="single" w:sz="6" w:space="0" w:color="auto"/>
              <w:right w:val="single" w:sz="6" w:space="0" w:color="auto"/>
            </w:tcBorders>
            <w:vAlign w:val="center"/>
          </w:tcPr>
          <w:p w14:paraId="489CC57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22.08.2024</w:t>
            </w:r>
          </w:p>
          <w:p w14:paraId="4150C49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31.12.2025</w:t>
            </w:r>
          </w:p>
        </w:tc>
        <w:tc>
          <w:tcPr>
            <w:tcW w:w="1400" w:type="dxa"/>
            <w:tcBorders>
              <w:top w:val="single" w:sz="6" w:space="0" w:color="auto"/>
              <w:left w:val="single" w:sz="6" w:space="0" w:color="auto"/>
              <w:bottom w:val="single" w:sz="6" w:space="0" w:color="auto"/>
            </w:tcBorders>
            <w:vAlign w:val="center"/>
          </w:tcPr>
          <w:p w14:paraId="5293BF6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29D735C8" w14:textId="77777777" w:rsidTr="00FA3E07">
        <w:trPr>
          <w:trHeight w:val="200"/>
        </w:trPr>
        <w:tc>
          <w:tcPr>
            <w:tcW w:w="550" w:type="dxa"/>
            <w:tcBorders>
              <w:top w:val="single" w:sz="6" w:space="0" w:color="auto"/>
              <w:bottom w:val="single" w:sz="6" w:space="0" w:color="auto"/>
              <w:right w:val="single" w:sz="6" w:space="0" w:color="auto"/>
            </w:tcBorders>
            <w:vAlign w:val="center"/>
          </w:tcPr>
          <w:p w14:paraId="3FF8C2A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2050" w:type="dxa"/>
            <w:tcBorders>
              <w:top w:val="single" w:sz="6" w:space="0" w:color="auto"/>
              <w:left w:val="single" w:sz="6" w:space="0" w:color="auto"/>
              <w:bottom w:val="single" w:sz="6" w:space="0" w:color="auto"/>
              <w:right w:val="single" w:sz="6" w:space="0" w:color="auto"/>
            </w:tcBorders>
            <w:vAlign w:val="center"/>
          </w:tcPr>
          <w:p w14:paraId="4550172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бiзнесу</w:t>
            </w:r>
            <w:proofErr w:type="spellEnd"/>
            <w:r w:rsidRPr="004229C1">
              <w:rPr>
                <w:rFonts w:ascii="Times New Roman" w:hAnsi="Times New Roman" w:cs="Times New Roman"/>
                <w:kern w:val="0"/>
                <w:sz w:val="20"/>
                <w:szCs w:val="20"/>
                <w:lang w:val="uk-UA"/>
              </w:rPr>
              <w:t xml:space="preserve">, заступник Голови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Банку</w:t>
            </w:r>
          </w:p>
        </w:tc>
        <w:tc>
          <w:tcPr>
            <w:tcW w:w="2100" w:type="dxa"/>
            <w:tcBorders>
              <w:top w:val="single" w:sz="6" w:space="0" w:color="auto"/>
              <w:left w:val="single" w:sz="6" w:space="0" w:color="auto"/>
              <w:bottom w:val="single" w:sz="6" w:space="0" w:color="auto"/>
              <w:right w:val="single" w:sz="6" w:space="0" w:color="auto"/>
            </w:tcBorders>
            <w:vAlign w:val="center"/>
          </w:tcPr>
          <w:p w14:paraId="2C94D32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Бабаєв</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Cемен</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Завлуєвич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475BB3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139CE9D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05C4301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1981</w:t>
            </w:r>
          </w:p>
        </w:tc>
        <w:tc>
          <w:tcPr>
            <w:tcW w:w="1000" w:type="dxa"/>
            <w:tcBorders>
              <w:top w:val="single" w:sz="6" w:space="0" w:color="auto"/>
              <w:left w:val="single" w:sz="6" w:space="0" w:color="auto"/>
              <w:bottom w:val="single" w:sz="6" w:space="0" w:color="auto"/>
              <w:right w:val="single" w:sz="6" w:space="0" w:color="auto"/>
            </w:tcBorders>
            <w:vAlign w:val="center"/>
          </w:tcPr>
          <w:p w14:paraId="5276427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1DE0B41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20</w:t>
            </w:r>
          </w:p>
        </w:tc>
        <w:tc>
          <w:tcPr>
            <w:tcW w:w="3100" w:type="dxa"/>
            <w:tcBorders>
              <w:top w:val="single" w:sz="6" w:space="0" w:color="auto"/>
              <w:left w:val="single" w:sz="6" w:space="0" w:color="auto"/>
              <w:bottom w:val="single" w:sz="6" w:space="0" w:color="auto"/>
              <w:right w:val="single" w:sz="6" w:space="0" w:color="auto"/>
            </w:tcBorders>
            <w:vAlign w:val="center"/>
          </w:tcPr>
          <w:p w14:paraId="5069763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w:t>
            </w: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роздрiбного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бiзнесу</w:t>
            </w:r>
            <w:proofErr w:type="spellEnd"/>
            <w:r w:rsidRPr="004229C1">
              <w:rPr>
                <w:rFonts w:ascii="Times New Roman" w:hAnsi="Times New Roman" w:cs="Times New Roman"/>
                <w:kern w:val="0"/>
                <w:sz w:val="20"/>
                <w:szCs w:val="20"/>
                <w:lang w:val="uk-UA"/>
              </w:rPr>
              <w:t xml:space="preserve">, заступник Голови </w:t>
            </w:r>
            <w:proofErr w:type="spellStart"/>
            <w:r w:rsidRPr="004229C1">
              <w:rPr>
                <w:rFonts w:ascii="Times New Roman" w:hAnsi="Times New Roman" w:cs="Times New Roman"/>
                <w:kern w:val="0"/>
                <w:sz w:val="20"/>
                <w:szCs w:val="20"/>
                <w:lang w:val="uk-UA"/>
              </w:rPr>
              <w:t>Правлiння</w:t>
            </w:r>
            <w:proofErr w:type="spellEnd"/>
            <w:r w:rsidRPr="004229C1">
              <w:rPr>
                <w:rFonts w:ascii="Times New Roman" w:hAnsi="Times New Roman" w:cs="Times New Roman"/>
                <w:kern w:val="0"/>
                <w:sz w:val="20"/>
                <w:szCs w:val="20"/>
                <w:lang w:val="uk-UA"/>
              </w:rPr>
              <w:t xml:space="preserve"> Банку</w:t>
            </w:r>
          </w:p>
          <w:p w14:paraId="78E863E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064EA6C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12603FB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27.06.2014</w:t>
            </w:r>
          </w:p>
          <w:p w14:paraId="1178FDC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30.06.2026</w:t>
            </w:r>
          </w:p>
        </w:tc>
        <w:tc>
          <w:tcPr>
            <w:tcW w:w="1400" w:type="dxa"/>
            <w:tcBorders>
              <w:top w:val="single" w:sz="6" w:space="0" w:color="auto"/>
              <w:left w:val="single" w:sz="6" w:space="0" w:color="auto"/>
              <w:bottom w:val="single" w:sz="6" w:space="0" w:color="auto"/>
            </w:tcBorders>
            <w:vAlign w:val="center"/>
          </w:tcPr>
          <w:p w14:paraId="69ACEB9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0A079980" w14:textId="77777777" w:rsidTr="00FA3E07">
        <w:trPr>
          <w:trHeight w:val="200"/>
        </w:trPr>
        <w:tc>
          <w:tcPr>
            <w:tcW w:w="550" w:type="dxa"/>
            <w:tcBorders>
              <w:top w:val="single" w:sz="6" w:space="0" w:color="auto"/>
              <w:bottom w:val="single" w:sz="6" w:space="0" w:color="auto"/>
              <w:right w:val="single" w:sz="6" w:space="0" w:color="auto"/>
            </w:tcBorders>
            <w:vAlign w:val="center"/>
          </w:tcPr>
          <w:p w14:paraId="4037146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2050" w:type="dxa"/>
            <w:tcBorders>
              <w:top w:val="single" w:sz="6" w:space="0" w:color="auto"/>
              <w:left w:val="single" w:sz="6" w:space="0" w:color="auto"/>
              <w:bottom w:val="single" w:sz="6" w:space="0" w:color="auto"/>
              <w:right w:val="single" w:sz="6" w:space="0" w:color="auto"/>
            </w:tcBorders>
            <w:vAlign w:val="center"/>
          </w:tcPr>
          <w:p w14:paraId="1C163F4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операцiйного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член </w:t>
            </w:r>
            <w:proofErr w:type="spellStart"/>
            <w:r w:rsidRPr="004229C1">
              <w:rPr>
                <w:rFonts w:ascii="Times New Roman" w:hAnsi="Times New Roman" w:cs="Times New Roman"/>
                <w:kern w:val="0"/>
                <w:sz w:val="20"/>
                <w:szCs w:val="20"/>
                <w:lang w:val="uk-UA"/>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1C85954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Остахова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Лiлiя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Вiкторiвна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BBC978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1D0D6AD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26C7687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1977</w:t>
            </w:r>
          </w:p>
        </w:tc>
        <w:tc>
          <w:tcPr>
            <w:tcW w:w="1000" w:type="dxa"/>
            <w:tcBorders>
              <w:top w:val="single" w:sz="6" w:space="0" w:color="auto"/>
              <w:left w:val="single" w:sz="6" w:space="0" w:color="auto"/>
              <w:bottom w:val="single" w:sz="6" w:space="0" w:color="auto"/>
              <w:right w:val="single" w:sz="6" w:space="0" w:color="auto"/>
            </w:tcBorders>
            <w:vAlign w:val="center"/>
          </w:tcPr>
          <w:p w14:paraId="4AFF218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8B512E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22</w:t>
            </w:r>
          </w:p>
        </w:tc>
        <w:tc>
          <w:tcPr>
            <w:tcW w:w="3100" w:type="dxa"/>
            <w:tcBorders>
              <w:top w:val="single" w:sz="6" w:space="0" w:color="auto"/>
              <w:left w:val="single" w:sz="6" w:space="0" w:color="auto"/>
              <w:bottom w:val="single" w:sz="6" w:space="0" w:color="auto"/>
              <w:right w:val="single" w:sz="6" w:space="0" w:color="auto"/>
            </w:tcBorders>
            <w:vAlign w:val="center"/>
          </w:tcPr>
          <w:p w14:paraId="15A2F4D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"IНГ Банк Україна", 21684818, головний бухгалтер 21.09.2016 -03.01.2020;АТ "ПРАВЕКС БАНК", 14360920, Головний бухгалтер - директор департаменту бухгалтерського </w:t>
            </w:r>
            <w:proofErr w:type="spellStart"/>
            <w:r w:rsidRPr="004229C1">
              <w:rPr>
                <w:rFonts w:ascii="Times New Roman" w:hAnsi="Times New Roman" w:cs="Times New Roman"/>
                <w:kern w:val="0"/>
                <w:sz w:val="20"/>
                <w:szCs w:val="20"/>
                <w:lang w:val="uk-UA"/>
              </w:rPr>
              <w:t>облiку</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08.01.2020 - 17.01.2022АТ "IНГ Банк Україна", 21684818, </w:t>
            </w:r>
            <w:proofErr w:type="spellStart"/>
            <w:r w:rsidRPr="004229C1">
              <w:rPr>
                <w:rFonts w:ascii="Times New Roman" w:hAnsi="Times New Roman" w:cs="Times New Roman"/>
                <w:kern w:val="0"/>
                <w:sz w:val="20"/>
                <w:szCs w:val="20"/>
                <w:lang w:val="uk-UA"/>
              </w:rPr>
              <w:t>Фахiвець</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обслуговування корпоративних </w:t>
            </w:r>
            <w:proofErr w:type="spellStart"/>
            <w:r w:rsidRPr="004229C1">
              <w:rPr>
                <w:rFonts w:ascii="Times New Roman" w:hAnsi="Times New Roman" w:cs="Times New Roman"/>
                <w:kern w:val="0"/>
                <w:sz w:val="20"/>
                <w:szCs w:val="20"/>
                <w:lang w:val="uk-UA"/>
              </w:rPr>
              <w:t>клiєнтiв</w:t>
            </w:r>
            <w:proofErr w:type="spellEnd"/>
            <w:r w:rsidRPr="004229C1">
              <w:rPr>
                <w:rFonts w:ascii="Times New Roman" w:hAnsi="Times New Roman" w:cs="Times New Roman"/>
                <w:kern w:val="0"/>
                <w:sz w:val="20"/>
                <w:szCs w:val="20"/>
                <w:lang w:val="uk-UA"/>
              </w:rPr>
              <w:t xml:space="preserve"> 16.12.2022 - 31.12.2024;АТ "IНГ Банк Україна", 21684818, Начальник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обслуговування корпоративних </w:t>
            </w:r>
            <w:proofErr w:type="spellStart"/>
            <w:r w:rsidRPr="004229C1">
              <w:rPr>
                <w:rFonts w:ascii="Times New Roman" w:hAnsi="Times New Roman" w:cs="Times New Roman"/>
                <w:kern w:val="0"/>
                <w:sz w:val="20"/>
                <w:szCs w:val="20"/>
                <w:lang w:val="uk-UA"/>
              </w:rPr>
              <w:t>клiєнтiв</w:t>
            </w:r>
            <w:proofErr w:type="spellEnd"/>
            <w:r w:rsidRPr="004229C1">
              <w:rPr>
                <w:rFonts w:ascii="Times New Roman" w:hAnsi="Times New Roman" w:cs="Times New Roman"/>
                <w:kern w:val="0"/>
                <w:sz w:val="20"/>
                <w:szCs w:val="20"/>
                <w:lang w:val="uk-UA"/>
              </w:rPr>
              <w:t xml:space="preserve"> 01.01.2024 - 29.02.2024</w:t>
            </w:r>
          </w:p>
          <w:p w14:paraId="2798D76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2D8C030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6F5BF18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04.03.2024</w:t>
            </w:r>
          </w:p>
          <w:p w14:paraId="354D189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04.03.2026</w:t>
            </w:r>
          </w:p>
        </w:tc>
        <w:tc>
          <w:tcPr>
            <w:tcW w:w="1400" w:type="dxa"/>
            <w:tcBorders>
              <w:top w:val="single" w:sz="6" w:space="0" w:color="auto"/>
              <w:left w:val="single" w:sz="6" w:space="0" w:color="auto"/>
              <w:bottom w:val="single" w:sz="6" w:space="0" w:color="auto"/>
            </w:tcBorders>
            <w:vAlign w:val="center"/>
          </w:tcPr>
          <w:p w14:paraId="69B619C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51EEFD4B" w14:textId="77777777" w:rsidTr="00FA3E07">
        <w:trPr>
          <w:trHeight w:val="200"/>
        </w:trPr>
        <w:tc>
          <w:tcPr>
            <w:tcW w:w="550" w:type="dxa"/>
            <w:tcBorders>
              <w:top w:val="single" w:sz="6" w:space="0" w:color="auto"/>
              <w:bottom w:val="single" w:sz="6" w:space="0" w:color="auto"/>
              <w:right w:val="single" w:sz="6" w:space="0" w:color="auto"/>
            </w:tcBorders>
            <w:vAlign w:val="center"/>
          </w:tcPr>
          <w:p w14:paraId="60986B6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2050" w:type="dxa"/>
            <w:tcBorders>
              <w:top w:val="single" w:sz="6" w:space="0" w:color="auto"/>
              <w:left w:val="single" w:sz="6" w:space="0" w:color="auto"/>
              <w:bottom w:val="single" w:sz="6" w:space="0" w:color="auto"/>
              <w:right w:val="single" w:sz="6" w:space="0" w:color="auto"/>
            </w:tcBorders>
            <w:vAlign w:val="center"/>
          </w:tcPr>
          <w:p w14:paraId="525E7A6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управлiння;член</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0D8AD60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Крамарова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Свiтлана</w:t>
            </w:r>
            <w:proofErr w:type="spellEnd"/>
            <w:r w:rsidRPr="004229C1">
              <w:rPr>
                <w:rFonts w:ascii="Times New Roman" w:hAnsi="Times New Roman" w:cs="Times New Roman"/>
                <w:kern w:val="0"/>
                <w:sz w:val="20"/>
                <w:szCs w:val="20"/>
                <w:lang w:val="uk-UA"/>
              </w:rPr>
              <w:t xml:space="preserve"> Миколаївна</w:t>
            </w:r>
          </w:p>
        </w:tc>
        <w:tc>
          <w:tcPr>
            <w:tcW w:w="1100" w:type="dxa"/>
            <w:tcBorders>
              <w:top w:val="single" w:sz="6" w:space="0" w:color="auto"/>
              <w:left w:val="single" w:sz="6" w:space="0" w:color="auto"/>
              <w:bottom w:val="single" w:sz="6" w:space="0" w:color="auto"/>
              <w:right w:val="single" w:sz="6" w:space="0" w:color="auto"/>
            </w:tcBorders>
            <w:vAlign w:val="center"/>
          </w:tcPr>
          <w:p w14:paraId="22409F4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242A77F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0C4972D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1979</w:t>
            </w:r>
          </w:p>
        </w:tc>
        <w:tc>
          <w:tcPr>
            <w:tcW w:w="1000" w:type="dxa"/>
            <w:tcBorders>
              <w:top w:val="single" w:sz="6" w:space="0" w:color="auto"/>
              <w:left w:val="single" w:sz="6" w:space="0" w:color="auto"/>
              <w:bottom w:val="single" w:sz="6" w:space="0" w:color="auto"/>
              <w:right w:val="single" w:sz="6" w:space="0" w:color="auto"/>
            </w:tcBorders>
            <w:vAlign w:val="center"/>
          </w:tcPr>
          <w:p w14:paraId="78C82ED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2BB0FC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21</w:t>
            </w:r>
          </w:p>
        </w:tc>
        <w:tc>
          <w:tcPr>
            <w:tcW w:w="3100" w:type="dxa"/>
            <w:tcBorders>
              <w:top w:val="single" w:sz="6" w:space="0" w:color="auto"/>
              <w:left w:val="single" w:sz="6" w:space="0" w:color="auto"/>
              <w:bottom w:val="single" w:sz="6" w:space="0" w:color="auto"/>
              <w:right w:val="single" w:sz="6" w:space="0" w:color="auto"/>
            </w:tcBorders>
            <w:vAlign w:val="center"/>
          </w:tcPr>
          <w:p w14:paraId="4D584AE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Директор департаменту планування i контролю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p>
          <w:p w14:paraId="4F3F9B4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5634AE3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3E0C290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04.03.2020</w:t>
            </w:r>
          </w:p>
          <w:p w14:paraId="738EE27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30.06.2026</w:t>
            </w:r>
          </w:p>
        </w:tc>
        <w:tc>
          <w:tcPr>
            <w:tcW w:w="1400" w:type="dxa"/>
            <w:tcBorders>
              <w:top w:val="single" w:sz="6" w:space="0" w:color="auto"/>
              <w:left w:val="single" w:sz="6" w:space="0" w:color="auto"/>
              <w:bottom w:val="single" w:sz="6" w:space="0" w:color="auto"/>
            </w:tcBorders>
            <w:vAlign w:val="center"/>
          </w:tcPr>
          <w:p w14:paraId="4B92987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4CD532F8" w14:textId="77777777" w:rsidTr="00FA3E07">
        <w:trPr>
          <w:trHeight w:val="200"/>
        </w:trPr>
        <w:tc>
          <w:tcPr>
            <w:tcW w:w="550" w:type="dxa"/>
            <w:tcBorders>
              <w:top w:val="single" w:sz="6" w:space="0" w:color="auto"/>
              <w:bottom w:val="single" w:sz="6" w:space="0" w:color="auto"/>
              <w:right w:val="single" w:sz="6" w:space="0" w:color="auto"/>
            </w:tcBorders>
            <w:vAlign w:val="center"/>
          </w:tcPr>
          <w:p w14:paraId="587802B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2050" w:type="dxa"/>
            <w:tcBorders>
              <w:top w:val="single" w:sz="6" w:space="0" w:color="auto"/>
              <w:left w:val="single" w:sz="6" w:space="0" w:color="auto"/>
              <w:bottom w:val="single" w:sz="6" w:space="0" w:color="auto"/>
              <w:right w:val="single" w:sz="6" w:space="0" w:color="auto"/>
            </w:tcBorders>
            <w:vAlign w:val="center"/>
          </w:tcPr>
          <w:p w14:paraId="0F0CB924" w14:textId="39612460"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головного кредитного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член </w:t>
            </w:r>
            <w:proofErr w:type="spellStart"/>
            <w:r w:rsidRPr="004229C1">
              <w:rPr>
                <w:rFonts w:ascii="Times New Roman" w:hAnsi="Times New Roman" w:cs="Times New Roman"/>
                <w:kern w:val="0"/>
                <w:sz w:val="20"/>
                <w:szCs w:val="20"/>
                <w:lang w:val="uk-UA"/>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7627565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Лещенко Руслан </w:t>
            </w:r>
            <w:proofErr w:type="spellStart"/>
            <w:r w:rsidRPr="004229C1">
              <w:rPr>
                <w:rFonts w:ascii="Times New Roman" w:hAnsi="Times New Roman" w:cs="Times New Roman"/>
                <w:kern w:val="0"/>
                <w:sz w:val="20"/>
                <w:szCs w:val="20"/>
                <w:lang w:val="uk-UA"/>
              </w:rPr>
              <w:t>Iгорович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E27632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2812ACA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6F7636F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1982</w:t>
            </w:r>
          </w:p>
        </w:tc>
        <w:tc>
          <w:tcPr>
            <w:tcW w:w="1000" w:type="dxa"/>
            <w:tcBorders>
              <w:top w:val="single" w:sz="6" w:space="0" w:color="auto"/>
              <w:left w:val="single" w:sz="6" w:space="0" w:color="auto"/>
              <w:bottom w:val="single" w:sz="6" w:space="0" w:color="auto"/>
              <w:right w:val="single" w:sz="6" w:space="0" w:color="auto"/>
            </w:tcBorders>
            <w:vAlign w:val="center"/>
          </w:tcPr>
          <w:p w14:paraId="252799B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B3FEDC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w:t>
            </w:r>
          </w:p>
        </w:tc>
        <w:tc>
          <w:tcPr>
            <w:tcW w:w="3100" w:type="dxa"/>
            <w:tcBorders>
              <w:top w:val="single" w:sz="6" w:space="0" w:color="auto"/>
              <w:left w:val="single" w:sz="6" w:space="0" w:color="auto"/>
              <w:bottom w:val="single" w:sz="6" w:space="0" w:color="auto"/>
              <w:right w:val="single" w:sz="6" w:space="0" w:color="auto"/>
            </w:tcBorders>
            <w:vAlign w:val="center"/>
          </w:tcPr>
          <w:p w14:paraId="5E92846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Директор департаменту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ризиками</w:t>
            </w:r>
          </w:p>
          <w:p w14:paraId="35EF10D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2F66716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081A7AE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01.11.2021</w:t>
            </w:r>
          </w:p>
          <w:p w14:paraId="7AEABA8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31.10.2024</w:t>
            </w:r>
          </w:p>
        </w:tc>
        <w:tc>
          <w:tcPr>
            <w:tcW w:w="1400" w:type="dxa"/>
            <w:tcBorders>
              <w:top w:val="single" w:sz="6" w:space="0" w:color="auto"/>
              <w:left w:val="single" w:sz="6" w:space="0" w:color="auto"/>
              <w:bottom w:val="single" w:sz="6" w:space="0" w:color="auto"/>
            </w:tcBorders>
            <w:vAlign w:val="center"/>
          </w:tcPr>
          <w:p w14:paraId="1A01A9A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34FE0350" w14:textId="77777777" w:rsidTr="00FA3E07">
        <w:trPr>
          <w:trHeight w:val="200"/>
        </w:trPr>
        <w:tc>
          <w:tcPr>
            <w:tcW w:w="550" w:type="dxa"/>
            <w:tcBorders>
              <w:top w:val="single" w:sz="6" w:space="0" w:color="auto"/>
              <w:bottom w:val="single" w:sz="6" w:space="0" w:color="auto"/>
              <w:right w:val="single" w:sz="6" w:space="0" w:color="auto"/>
            </w:tcBorders>
            <w:vAlign w:val="center"/>
          </w:tcPr>
          <w:p w14:paraId="2A1137C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2050" w:type="dxa"/>
            <w:tcBorders>
              <w:top w:val="single" w:sz="6" w:space="0" w:color="auto"/>
              <w:left w:val="single" w:sz="6" w:space="0" w:color="auto"/>
              <w:bottom w:val="single" w:sz="6" w:space="0" w:color="auto"/>
              <w:right w:val="single" w:sz="6" w:space="0" w:color="auto"/>
            </w:tcBorders>
            <w:vAlign w:val="center"/>
          </w:tcPr>
          <w:p w14:paraId="71948A8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Головний комплаєнс-менеджер - директор департаменту </w:t>
            </w:r>
            <w:proofErr w:type="spellStart"/>
            <w:r w:rsidRPr="004229C1">
              <w:rPr>
                <w:rFonts w:ascii="Times New Roman" w:hAnsi="Times New Roman" w:cs="Times New Roman"/>
                <w:kern w:val="0"/>
                <w:sz w:val="20"/>
                <w:szCs w:val="20"/>
                <w:lang w:val="uk-UA"/>
              </w:rPr>
              <w:t>комплаєнсу</w:t>
            </w:r>
            <w:proofErr w:type="spellEnd"/>
            <w:r w:rsidRPr="004229C1">
              <w:rPr>
                <w:rFonts w:ascii="Times New Roman" w:hAnsi="Times New Roman" w:cs="Times New Roman"/>
                <w:kern w:val="0"/>
                <w:sz w:val="20"/>
                <w:szCs w:val="20"/>
                <w:lang w:val="uk-UA"/>
              </w:rPr>
              <w:t xml:space="preserve"> та </w:t>
            </w:r>
            <w:proofErr w:type="spellStart"/>
            <w:r w:rsidRPr="004229C1">
              <w:rPr>
                <w:rFonts w:ascii="Times New Roman" w:hAnsi="Times New Roman" w:cs="Times New Roman"/>
                <w:kern w:val="0"/>
                <w:sz w:val="20"/>
                <w:szCs w:val="20"/>
                <w:lang w:val="uk-UA"/>
              </w:rPr>
              <w:t>протидiї</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легалiзацiї</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доходiв</w:t>
            </w:r>
            <w:proofErr w:type="spellEnd"/>
            <w:r w:rsidRPr="004229C1">
              <w:rPr>
                <w:rFonts w:ascii="Times New Roman" w:hAnsi="Times New Roman" w:cs="Times New Roman"/>
                <w:kern w:val="0"/>
                <w:sz w:val="20"/>
                <w:szCs w:val="20"/>
                <w:lang w:val="uk-UA"/>
              </w:rPr>
              <w:t xml:space="preserve">, отриманих злочинним шляхом; член </w:t>
            </w:r>
            <w:proofErr w:type="spellStart"/>
            <w:r w:rsidRPr="004229C1">
              <w:rPr>
                <w:rFonts w:ascii="Times New Roman" w:hAnsi="Times New Roman" w:cs="Times New Roman"/>
                <w:kern w:val="0"/>
                <w:sz w:val="20"/>
                <w:szCs w:val="20"/>
                <w:lang w:val="uk-UA"/>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6A94403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Єфремов Олег </w:t>
            </w:r>
            <w:proofErr w:type="spellStart"/>
            <w:r w:rsidRPr="004229C1">
              <w:rPr>
                <w:rFonts w:ascii="Times New Roman" w:hAnsi="Times New Roman" w:cs="Times New Roman"/>
                <w:kern w:val="0"/>
                <w:sz w:val="20"/>
                <w:szCs w:val="20"/>
                <w:lang w:val="uk-UA"/>
              </w:rPr>
              <w:t>Анатолiйович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46FE3D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63842D2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60C53C0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1964</w:t>
            </w:r>
          </w:p>
        </w:tc>
        <w:tc>
          <w:tcPr>
            <w:tcW w:w="1000" w:type="dxa"/>
            <w:tcBorders>
              <w:top w:val="single" w:sz="6" w:space="0" w:color="auto"/>
              <w:left w:val="single" w:sz="6" w:space="0" w:color="auto"/>
              <w:bottom w:val="single" w:sz="6" w:space="0" w:color="auto"/>
              <w:right w:val="single" w:sz="6" w:space="0" w:color="auto"/>
            </w:tcBorders>
            <w:vAlign w:val="center"/>
          </w:tcPr>
          <w:p w14:paraId="099C08D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420B2FF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36</w:t>
            </w:r>
          </w:p>
        </w:tc>
        <w:tc>
          <w:tcPr>
            <w:tcW w:w="3100" w:type="dxa"/>
            <w:tcBorders>
              <w:top w:val="single" w:sz="6" w:space="0" w:color="auto"/>
              <w:left w:val="single" w:sz="6" w:space="0" w:color="auto"/>
              <w:bottom w:val="single" w:sz="6" w:space="0" w:color="auto"/>
              <w:right w:val="single" w:sz="6" w:space="0" w:color="auto"/>
            </w:tcBorders>
            <w:vAlign w:val="center"/>
          </w:tcPr>
          <w:p w14:paraId="423AE74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"КРЕДI АГРIКОЛЬ БАНК" 14361575 Директор департаменту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монiторингу</w:t>
            </w:r>
            <w:proofErr w:type="spellEnd"/>
            <w:r w:rsidRPr="004229C1">
              <w:rPr>
                <w:rFonts w:ascii="Times New Roman" w:hAnsi="Times New Roman" w:cs="Times New Roman"/>
                <w:kern w:val="0"/>
                <w:sz w:val="20"/>
                <w:szCs w:val="20"/>
                <w:lang w:val="uk-UA"/>
              </w:rPr>
              <w:t xml:space="preserve"> 13.06.2016 - 16.02.2024</w:t>
            </w:r>
          </w:p>
          <w:p w14:paraId="68C64CA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1A778AA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770FA07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19.02.2024</w:t>
            </w:r>
          </w:p>
          <w:p w14:paraId="2D8B764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19.02.2026</w:t>
            </w:r>
          </w:p>
        </w:tc>
        <w:tc>
          <w:tcPr>
            <w:tcW w:w="1400" w:type="dxa"/>
            <w:tcBorders>
              <w:top w:val="single" w:sz="6" w:space="0" w:color="auto"/>
              <w:left w:val="single" w:sz="6" w:space="0" w:color="auto"/>
              <w:bottom w:val="single" w:sz="6" w:space="0" w:color="auto"/>
            </w:tcBorders>
            <w:vAlign w:val="center"/>
          </w:tcPr>
          <w:p w14:paraId="5A45709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bl>
    <w:p w14:paraId="5945D588"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p>
    <w:p w14:paraId="0FD1EA75" w14:textId="13665E8C"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Інші посадові особи</w:t>
      </w:r>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5E6C62" w:rsidRPr="004229C1" w14:paraId="27EA5367" w14:textId="77777777" w:rsidTr="00B7794C">
        <w:trPr>
          <w:trHeight w:val="200"/>
        </w:trPr>
        <w:tc>
          <w:tcPr>
            <w:tcW w:w="550" w:type="dxa"/>
            <w:tcBorders>
              <w:top w:val="single" w:sz="6" w:space="0" w:color="auto"/>
              <w:bottom w:val="single" w:sz="6" w:space="0" w:color="auto"/>
              <w:right w:val="single" w:sz="6" w:space="0" w:color="auto"/>
            </w:tcBorders>
            <w:vAlign w:val="center"/>
          </w:tcPr>
          <w:p w14:paraId="031C4E8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6FFDDB4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78D1EFC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28E8DD6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08822A6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4A1B2E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A58D03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4C396DD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52383F2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52DB97C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4D5A9A9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Непогашена судимість за корисливі та посадові злочини (Так/Ні)</w:t>
            </w:r>
          </w:p>
        </w:tc>
      </w:tr>
      <w:tr w:rsidR="005E6C62" w:rsidRPr="004229C1" w14:paraId="0A2EF820" w14:textId="77777777" w:rsidTr="00B7794C">
        <w:trPr>
          <w:trHeight w:val="200"/>
        </w:trPr>
        <w:tc>
          <w:tcPr>
            <w:tcW w:w="550" w:type="dxa"/>
            <w:tcBorders>
              <w:top w:val="single" w:sz="6" w:space="0" w:color="auto"/>
              <w:bottom w:val="single" w:sz="6" w:space="0" w:color="auto"/>
              <w:right w:val="single" w:sz="6" w:space="0" w:color="auto"/>
            </w:tcBorders>
            <w:vAlign w:val="center"/>
          </w:tcPr>
          <w:p w14:paraId="638E4C2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650BE3F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14:paraId="14360B6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14:paraId="785FFB2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14:paraId="153302B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14:paraId="60FC614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14:paraId="4D2CB41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14:paraId="470695C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14:paraId="62ACB39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14:paraId="16722F2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10</w:t>
            </w:r>
          </w:p>
        </w:tc>
        <w:tc>
          <w:tcPr>
            <w:tcW w:w="1400" w:type="dxa"/>
            <w:tcBorders>
              <w:top w:val="single" w:sz="6" w:space="0" w:color="auto"/>
              <w:left w:val="single" w:sz="6" w:space="0" w:color="auto"/>
              <w:bottom w:val="single" w:sz="6" w:space="0" w:color="auto"/>
            </w:tcBorders>
            <w:vAlign w:val="center"/>
          </w:tcPr>
          <w:p w14:paraId="3586A9D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11</w:t>
            </w:r>
          </w:p>
        </w:tc>
      </w:tr>
      <w:tr w:rsidR="005E6C62" w:rsidRPr="004229C1" w14:paraId="1686D8ED" w14:textId="77777777" w:rsidTr="00B7794C">
        <w:trPr>
          <w:trHeight w:val="200"/>
        </w:trPr>
        <w:tc>
          <w:tcPr>
            <w:tcW w:w="550" w:type="dxa"/>
            <w:tcBorders>
              <w:top w:val="single" w:sz="6" w:space="0" w:color="auto"/>
              <w:bottom w:val="single" w:sz="6" w:space="0" w:color="auto"/>
              <w:right w:val="single" w:sz="6" w:space="0" w:color="auto"/>
            </w:tcBorders>
            <w:vAlign w:val="center"/>
          </w:tcPr>
          <w:p w14:paraId="46F194A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3CDFB66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Головний бухгалтер директор департаменту бухгалтерського </w:t>
            </w:r>
            <w:proofErr w:type="spellStart"/>
            <w:r w:rsidRPr="004229C1">
              <w:rPr>
                <w:rFonts w:ascii="Times New Roman" w:hAnsi="Times New Roman" w:cs="Times New Roman"/>
                <w:kern w:val="0"/>
                <w:sz w:val="20"/>
                <w:szCs w:val="20"/>
                <w:lang w:val="uk-UA"/>
              </w:rPr>
              <w:t>облiку</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w:t>
            </w:r>
          </w:p>
        </w:tc>
        <w:tc>
          <w:tcPr>
            <w:tcW w:w="2100" w:type="dxa"/>
            <w:tcBorders>
              <w:top w:val="single" w:sz="6" w:space="0" w:color="auto"/>
              <w:left w:val="single" w:sz="6" w:space="0" w:color="auto"/>
              <w:bottom w:val="single" w:sz="6" w:space="0" w:color="auto"/>
              <w:right w:val="single" w:sz="6" w:space="0" w:color="auto"/>
            </w:tcBorders>
            <w:vAlign w:val="center"/>
          </w:tcPr>
          <w:p w14:paraId="6D64BBE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Барановська Ганна </w:t>
            </w:r>
            <w:proofErr w:type="spellStart"/>
            <w:r w:rsidRPr="004229C1">
              <w:rPr>
                <w:rFonts w:ascii="Times New Roman" w:hAnsi="Times New Roman" w:cs="Times New Roman"/>
                <w:kern w:val="0"/>
                <w:sz w:val="20"/>
                <w:szCs w:val="20"/>
                <w:lang w:val="uk-UA"/>
              </w:rPr>
              <w:t>Станiславiвна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C89286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44E05DD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6E7C300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2D4B8E9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46A99E5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26</w:t>
            </w:r>
          </w:p>
        </w:tc>
        <w:tc>
          <w:tcPr>
            <w:tcW w:w="3100" w:type="dxa"/>
            <w:tcBorders>
              <w:top w:val="single" w:sz="6" w:space="0" w:color="auto"/>
              <w:left w:val="single" w:sz="6" w:space="0" w:color="auto"/>
              <w:bottom w:val="single" w:sz="6" w:space="0" w:color="auto"/>
              <w:right w:val="single" w:sz="6" w:space="0" w:color="auto"/>
            </w:tcBorders>
            <w:vAlign w:val="center"/>
          </w:tcPr>
          <w:p w14:paraId="742CD3A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радник </w:t>
            </w:r>
            <w:proofErr w:type="spellStart"/>
            <w:r w:rsidRPr="004229C1">
              <w:rPr>
                <w:rFonts w:ascii="Times New Roman" w:hAnsi="Times New Roman" w:cs="Times New Roman"/>
                <w:kern w:val="0"/>
                <w:sz w:val="20"/>
                <w:szCs w:val="20"/>
                <w:lang w:val="uk-UA"/>
              </w:rPr>
              <w:t>керiвника</w:t>
            </w:r>
            <w:proofErr w:type="spellEnd"/>
            <w:r w:rsidRPr="004229C1">
              <w:rPr>
                <w:rFonts w:ascii="Times New Roman" w:hAnsi="Times New Roman" w:cs="Times New Roman"/>
                <w:kern w:val="0"/>
                <w:sz w:val="20"/>
                <w:szCs w:val="20"/>
                <w:lang w:val="uk-UA"/>
              </w:rPr>
              <w:t xml:space="preserve"> головного </w:t>
            </w:r>
            <w:proofErr w:type="spellStart"/>
            <w:r w:rsidRPr="004229C1">
              <w:rPr>
                <w:rFonts w:ascii="Times New Roman" w:hAnsi="Times New Roman" w:cs="Times New Roman"/>
                <w:kern w:val="0"/>
                <w:sz w:val="20"/>
                <w:szCs w:val="20"/>
                <w:lang w:val="uk-UA"/>
              </w:rPr>
              <w:t>операцiйного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з питань бухгалтерського </w:t>
            </w:r>
            <w:proofErr w:type="spellStart"/>
            <w:r w:rsidRPr="004229C1">
              <w:rPr>
                <w:rFonts w:ascii="Times New Roman" w:hAnsi="Times New Roman" w:cs="Times New Roman"/>
                <w:kern w:val="0"/>
                <w:sz w:val="20"/>
                <w:szCs w:val="20"/>
                <w:lang w:val="uk-UA"/>
              </w:rPr>
              <w:t>облiку</w:t>
            </w:r>
            <w:proofErr w:type="spellEnd"/>
            <w:r w:rsidRPr="004229C1">
              <w:rPr>
                <w:rFonts w:ascii="Times New Roman" w:hAnsi="Times New Roman" w:cs="Times New Roman"/>
                <w:kern w:val="0"/>
                <w:sz w:val="20"/>
                <w:szCs w:val="20"/>
                <w:lang w:val="uk-UA"/>
              </w:rPr>
              <w:t xml:space="preserve"> ГФУ 14.03.2022.-18.09.2022. </w:t>
            </w:r>
            <w:proofErr w:type="spellStart"/>
            <w:r w:rsidRPr="004229C1">
              <w:rPr>
                <w:rFonts w:ascii="Times New Roman" w:hAnsi="Times New Roman" w:cs="Times New Roman"/>
                <w:kern w:val="0"/>
                <w:sz w:val="20"/>
                <w:szCs w:val="20"/>
                <w:lang w:val="uk-UA"/>
              </w:rPr>
              <w:t>керiвник</w:t>
            </w:r>
            <w:proofErr w:type="spellEnd"/>
            <w:r w:rsidRPr="004229C1">
              <w:rPr>
                <w:rFonts w:ascii="Times New Roman" w:hAnsi="Times New Roman" w:cs="Times New Roman"/>
                <w:kern w:val="0"/>
                <w:sz w:val="20"/>
                <w:szCs w:val="20"/>
                <w:lang w:val="uk-UA"/>
              </w:rPr>
              <w:t xml:space="preserve"> з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якiстю</w:t>
            </w:r>
            <w:proofErr w:type="spellEnd"/>
            <w:r w:rsidRPr="004229C1">
              <w:rPr>
                <w:rFonts w:ascii="Times New Roman" w:hAnsi="Times New Roman" w:cs="Times New Roman"/>
                <w:kern w:val="0"/>
                <w:sz w:val="20"/>
                <w:szCs w:val="20"/>
                <w:lang w:val="uk-UA"/>
              </w:rPr>
              <w:t xml:space="preserve"> даних ГФУ 02.09.2021-13.03.2022.ТзОВ "КПМГ-Україна", 21534148, старший консультант 15.04.2021.16.07.2021. ПАТ КБ "ХРЕЩАТИК", 19364259, головний бухгалтер 01.04.2020.-30.04.2020. </w:t>
            </w:r>
          </w:p>
          <w:p w14:paraId="76C1DD7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065A89B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5A62A0E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19.09.2022</w:t>
            </w:r>
          </w:p>
          <w:p w14:paraId="14C2985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Безстроково</w:t>
            </w:r>
          </w:p>
        </w:tc>
        <w:tc>
          <w:tcPr>
            <w:tcW w:w="1400" w:type="dxa"/>
            <w:tcBorders>
              <w:top w:val="single" w:sz="6" w:space="0" w:color="auto"/>
              <w:left w:val="single" w:sz="6" w:space="0" w:color="auto"/>
              <w:bottom w:val="single" w:sz="6" w:space="0" w:color="auto"/>
            </w:tcBorders>
            <w:vAlign w:val="center"/>
          </w:tcPr>
          <w:p w14:paraId="085A980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B7794C" w:rsidRPr="004229C1" w14:paraId="2C0286CD" w14:textId="77777777" w:rsidTr="00B7794C">
        <w:trPr>
          <w:trHeight w:val="200"/>
        </w:trPr>
        <w:tc>
          <w:tcPr>
            <w:tcW w:w="550" w:type="dxa"/>
            <w:tcBorders>
              <w:top w:val="single" w:sz="6" w:space="0" w:color="auto"/>
              <w:bottom w:val="single" w:sz="6" w:space="0" w:color="auto"/>
              <w:right w:val="single" w:sz="6" w:space="0" w:color="auto"/>
            </w:tcBorders>
            <w:vAlign w:val="center"/>
          </w:tcPr>
          <w:p w14:paraId="240537E2" w14:textId="0AB73CF3"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14:paraId="773D8E5F" w14:textId="32A9E88E"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 xml:space="preserve">Корпоративний секретар департаменту юридичної </w:t>
            </w:r>
            <w:proofErr w:type="spellStart"/>
            <w:r w:rsidRPr="004229C1">
              <w:rPr>
                <w:rFonts w:ascii="Times New Roman CYR" w:hAnsi="Times New Roman CYR" w:cs="Times New Roman CYR"/>
                <w:kern w:val="0"/>
                <w:sz w:val="20"/>
                <w:szCs w:val="20"/>
                <w:lang w:val="uk-UA"/>
              </w:rPr>
              <w:t>пiдтримки</w:t>
            </w:r>
            <w:proofErr w:type="spellEnd"/>
            <w:r w:rsidRPr="004229C1">
              <w:rPr>
                <w:rFonts w:ascii="Times New Roman CYR" w:hAnsi="Times New Roman CYR" w:cs="Times New Roman CYR"/>
                <w:kern w:val="0"/>
                <w:sz w:val="20"/>
                <w:szCs w:val="20"/>
                <w:lang w:val="uk-UA"/>
              </w:rPr>
              <w:t xml:space="preserve"> та генерального </w:t>
            </w:r>
            <w:proofErr w:type="spellStart"/>
            <w:r w:rsidRPr="004229C1">
              <w:rPr>
                <w:rFonts w:ascii="Times New Roman CYR" w:hAnsi="Times New Roman CYR" w:cs="Times New Roman CYR"/>
                <w:kern w:val="0"/>
                <w:sz w:val="20"/>
                <w:szCs w:val="20"/>
                <w:lang w:val="uk-UA"/>
              </w:rPr>
              <w:t>секретарiату</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0F8BD856" w14:textId="3B4B64DB"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CYR" w:hAnsi="Times New Roman CYR" w:cs="Times New Roman CYR"/>
                <w:kern w:val="0"/>
                <w:sz w:val="20"/>
                <w:szCs w:val="20"/>
                <w:lang w:val="uk-UA"/>
              </w:rPr>
              <w:t>Дмитрiєва</w:t>
            </w:r>
            <w:proofErr w:type="spellEnd"/>
            <w:r w:rsidRPr="004229C1">
              <w:rPr>
                <w:rFonts w:ascii="Times New Roman CYR" w:hAnsi="Times New Roman CYR" w:cs="Times New Roman CYR"/>
                <w:kern w:val="0"/>
                <w:sz w:val="20"/>
                <w:szCs w:val="20"/>
                <w:lang w:val="uk-UA"/>
              </w:rPr>
              <w:t xml:space="preserve"> </w:t>
            </w:r>
            <w:proofErr w:type="spellStart"/>
            <w:r w:rsidRPr="004229C1">
              <w:rPr>
                <w:rFonts w:ascii="Times New Roman CYR" w:hAnsi="Times New Roman CYR" w:cs="Times New Roman CYR"/>
                <w:kern w:val="0"/>
                <w:sz w:val="20"/>
                <w:szCs w:val="20"/>
                <w:lang w:val="uk-UA"/>
              </w:rPr>
              <w:t>Анастасiя</w:t>
            </w:r>
            <w:proofErr w:type="spellEnd"/>
            <w:r w:rsidRPr="004229C1">
              <w:rPr>
                <w:rFonts w:ascii="Times New Roman CYR" w:hAnsi="Times New Roman CYR" w:cs="Times New Roman CYR"/>
                <w:kern w:val="0"/>
                <w:sz w:val="20"/>
                <w:szCs w:val="20"/>
                <w:lang w:val="uk-UA"/>
              </w:rPr>
              <w:t xml:space="preserve"> </w:t>
            </w:r>
            <w:proofErr w:type="spellStart"/>
            <w:r w:rsidRPr="004229C1">
              <w:rPr>
                <w:rFonts w:ascii="Times New Roman CYR" w:hAnsi="Times New Roman CYR" w:cs="Times New Roman CYR"/>
                <w:kern w:val="0"/>
                <w:sz w:val="20"/>
                <w:szCs w:val="20"/>
                <w:lang w:val="uk-UA"/>
              </w:rPr>
              <w:t>Олександрiвна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2F71E9B" w14:textId="77777777"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5D5DDF19" w14:textId="77777777"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7544A42A" w14:textId="5668F428"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1981</w:t>
            </w:r>
          </w:p>
        </w:tc>
        <w:tc>
          <w:tcPr>
            <w:tcW w:w="1000" w:type="dxa"/>
            <w:tcBorders>
              <w:top w:val="single" w:sz="6" w:space="0" w:color="auto"/>
              <w:left w:val="single" w:sz="6" w:space="0" w:color="auto"/>
              <w:bottom w:val="single" w:sz="6" w:space="0" w:color="auto"/>
              <w:right w:val="single" w:sz="6" w:space="0" w:color="auto"/>
            </w:tcBorders>
            <w:vAlign w:val="center"/>
          </w:tcPr>
          <w:p w14:paraId="655AC72E" w14:textId="136B9121"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6982D83" w14:textId="20AB565D"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15</w:t>
            </w:r>
          </w:p>
        </w:tc>
        <w:tc>
          <w:tcPr>
            <w:tcW w:w="3100" w:type="dxa"/>
            <w:tcBorders>
              <w:top w:val="single" w:sz="6" w:space="0" w:color="auto"/>
              <w:left w:val="single" w:sz="6" w:space="0" w:color="auto"/>
              <w:bottom w:val="single" w:sz="6" w:space="0" w:color="auto"/>
              <w:right w:val="single" w:sz="6" w:space="0" w:color="auto"/>
            </w:tcBorders>
            <w:vAlign w:val="center"/>
          </w:tcPr>
          <w:p w14:paraId="681CEA2D" w14:textId="77777777" w:rsidR="00B7794C" w:rsidRPr="004229C1" w:rsidRDefault="00B7794C" w:rsidP="00B7794C">
            <w:pPr>
              <w:widowControl w:val="0"/>
              <w:autoSpaceDE w:val="0"/>
              <w:autoSpaceDN w:val="0"/>
              <w:adjustRightInd w:val="0"/>
              <w:spacing w:after="0" w:line="240" w:lineRule="auto"/>
              <w:jc w:val="center"/>
              <w:rPr>
                <w:rFonts w:ascii="Times New Roman CYR" w:hAnsi="Times New Roman CYR" w:cs="Times New Roman CYR"/>
                <w:kern w:val="0"/>
                <w:sz w:val="20"/>
                <w:szCs w:val="20"/>
                <w:lang w:val="uk-UA"/>
              </w:rPr>
            </w:pPr>
          </w:p>
          <w:p w14:paraId="3850A99F" w14:textId="77777777" w:rsidR="00B7794C" w:rsidRPr="004229C1" w:rsidRDefault="00B7794C" w:rsidP="00B7794C">
            <w:pPr>
              <w:widowControl w:val="0"/>
              <w:autoSpaceDE w:val="0"/>
              <w:autoSpaceDN w:val="0"/>
              <w:adjustRightInd w:val="0"/>
              <w:spacing w:after="0" w:line="240" w:lineRule="auto"/>
              <w:jc w:val="center"/>
              <w:rPr>
                <w:rFonts w:ascii="Times New Roman CYR" w:hAnsi="Times New Roman CYR" w:cs="Times New Roman CYR"/>
                <w:kern w:val="0"/>
                <w:sz w:val="20"/>
                <w:szCs w:val="20"/>
                <w:lang w:val="uk-UA"/>
              </w:rPr>
            </w:pPr>
            <w:r w:rsidRPr="004229C1">
              <w:rPr>
                <w:rFonts w:ascii="Times New Roman CYR" w:hAnsi="Times New Roman CYR" w:cs="Times New Roman CYR"/>
                <w:kern w:val="0"/>
                <w:sz w:val="20"/>
                <w:szCs w:val="20"/>
                <w:lang w:val="uk-UA"/>
              </w:rPr>
              <w:t xml:space="preserve">АТ «ІНГ Банк», Україна, 21684818, юридичний радник 19.07.2016-30.06.2021 </w:t>
            </w:r>
          </w:p>
          <w:p w14:paraId="09881A79" w14:textId="77777777" w:rsidR="00B7794C" w:rsidRPr="004229C1" w:rsidRDefault="00B7794C" w:rsidP="00B7794C">
            <w:pPr>
              <w:widowControl w:val="0"/>
              <w:autoSpaceDE w:val="0"/>
              <w:autoSpaceDN w:val="0"/>
              <w:adjustRightInd w:val="0"/>
              <w:spacing w:after="0" w:line="240" w:lineRule="auto"/>
              <w:jc w:val="center"/>
              <w:rPr>
                <w:rFonts w:ascii="Times New Roman CYR" w:hAnsi="Times New Roman CYR" w:cs="Times New Roman CYR"/>
                <w:kern w:val="0"/>
                <w:sz w:val="20"/>
                <w:szCs w:val="20"/>
                <w:lang w:val="uk-UA"/>
              </w:rPr>
            </w:pPr>
          </w:p>
          <w:p w14:paraId="7716F9D1" w14:textId="77777777"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400" w:type="dxa"/>
            <w:tcBorders>
              <w:top w:val="single" w:sz="6" w:space="0" w:color="auto"/>
              <w:left w:val="single" w:sz="6" w:space="0" w:color="auto"/>
              <w:bottom w:val="single" w:sz="6" w:space="0" w:color="auto"/>
              <w:right w:val="single" w:sz="6" w:space="0" w:color="auto"/>
            </w:tcBorders>
            <w:vAlign w:val="center"/>
          </w:tcPr>
          <w:p w14:paraId="456C420A" w14:textId="77777777" w:rsidR="00B7794C" w:rsidRPr="004229C1" w:rsidRDefault="00B7794C" w:rsidP="00B7794C">
            <w:pPr>
              <w:widowControl w:val="0"/>
              <w:autoSpaceDE w:val="0"/>
              <w:autoSpaceDN w:val="0"/>
              <w:adjustRightInd w:val="0"/>
              <w:spacing w:after="0" w:line="240" w:lineRule="auto"/>
              <w:jc w:val="center"/>
              <w:rPr>
                <w:rFonts w:ascii="Times New Roman CYR" w:hAnsi="Times New Roman CYR" w:cs="Times New Roman CYR"/>
                <w:kern w:val="0"/>
                <w:sz w:val="20"/>
                <w:szCs w:val="20"/>
                <w:lang w:val="uk-UA"/>
              </w:rPr>
            </w:pPr>
            <w:r w:rsidRPr="004229C1">
              <w:rPr>
                <w:rFonts w:ascii="Times New Roman CYR" w:hAnsi="Times New Roman CYR" w:cs="Times New Roman CYR"/>
                <w:kern w:val="0"/>
                <w:sz w:val="20"/>
                <w:szCs w:val="20"/>
                <w:lang w:val="uk-UA"/>
              </w:rPr>
              <w:t>01.07.2021</w:t>
            </w:r>
          </w:p>
          <w:p w14:paraId="477AB119" w14:textId="652E484E"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31.01.2024 звільнено за власним бажанням</w:t>
            </w:r>
          </w:p>
        </w:tc>
        <w:tc>
          <w:tcPr>
            <w:tcW w:w="1400" w:type="dxa"/>
            <w:tcBorders>
              <w:top w:val="single" w:sz="6" w:space="0" w:color="auto"/>
              <w:left w:val="single" w:sz="6" w:space="0" w:color="auto"/>
              <w:bottom w:val="single" w:sz="6" w:space="0" w:color="auto"/>
            </w:tcBorders>
            <w:vAlign w:val="center"/>
          </w:tcPr>
          <w:p w14:paraId="48E8F4C2" w14:textId="3B98CDE6"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Ні</w:t>
            </w:r>
          </w:p>
        </w:tc>
      </w:tr>
      <w:tr w:rsidR="005E6C62" w:rsidRPr="004229C1" w14:paraId="34756493" w14:textId="77777777" w:rsidTr="00B7794C">
        <w:trPr>
          <w:trHeight w:val="200"/>
        </w:trPr>
        <w:tc>
          <w:tcPr>
            <w:tcW w:w="550" w:type="dxa"/>
            <w:tcBorders>
              <w:top w:val="single" w:sz="6" w:space="0" w:color="auto"/>
              <w:bottom w:val="single" w:sz="6" w:space="0" w:color="auto"/>
              <w:right w:val="single" w:sz="6" w:space="0" w:color="auto"/>
            </w:tcBorders>
            <w:vAlign w:val="center"/>
          </w:tcPr>
          <w:p w14:paraId="4E3CBF2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050" w:type="dxa"/>
            <w:tcBorders>
              <w:top w:val="single" w:sz="6" w:space="0" w:color="auto"/>
              <w:left w:val="single" w:sz="6" w:space="0" w:color="auto"/>
              <w:bottom w:val="single" w:sz="6" w:space="0" w:color="auto"/>
              <w:right w:val="single" w:sz="6" w:space="0" w:color="auto"/>
            </w:tcBorders>
            <w:vAlign w:val="center"/>
          </w:tcPr>
          <w:p w14:paraId="0B7E512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Корпоративний секретар департаменту юридичної </w:t>
            </w:r>
            <w:proofErr w:type="spellStart"/>
            <w:r w:rsidRPr="004229C1">
              <w:rPr>
                <w:rFonts w:ascii="Times New Roman" w:hAnsi="Times New Roman" w:cs="Times New Roman"/>
                <w:kern w:val="0"/>
                <w:sz w:val="20"/>
                <w:szCs w:val="20"/>
                <w:lang w:val="uk-UA"/>
              </w:rPr>
              <w:t>пiдтримки</w:t>
            </w:r>
            <w:proofErr w:type="spellEnd"/>
            <w:r w:rsidRPr="004229C1">
              <w:rPr>
                <w:rFonts w:ascii="Times New Roman" w:hAnsi="Times New Roman" w:cs="Times New Roman"/>
                <w:kern w:val="0"/>
                <w:sz w:val="20"/>
                <w:szCs w:val="20"/>
                <w:lang w:val="uk-UA"/>
              </w:rPr>
              <w:t xml:space="preserve"> та генерального </w:t>
            </w:r>
            <w:proofErr w:type="spellStart"/>
            <w:r w:rsidRPr="004229C1">
              <w:rPr>
                <w:rFonts w:ascii="Times New Roman" w:hAnsi="Times New Roman" w:cs="Times New Roman"/>
                <w:kern w:val="0"/>
                <w:sz w:val="20"/>
                <w:szCs w:val="20"/>
                <w:lang w:val="uk-UA"/>
              </w:rPr>
              <w:t>секретарiату</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07FCF78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Федорова Дар'я </w:t>
            </w:r>
            <w:proofErr w:type="spellStart"/>
            <w:r w:rsidRPr="004229C1">
              <w:rPr>
                <w:rFonts w:ascii="Times New Roman" w:hAnsi="Times New Roman" w:cs="Times New Roman"/>
                <w:kern w:val="0"/>
                <w:sz w:val="20"/>
                <w:szCs w:val="20"/>
                <w:lang w:val="uk-UA"/>
              </w:rPr>
              <w:t>Анатолiївна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EB1ABA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5112C77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587AD0A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1993</w:t>
            </w:r>
          </w:p>
        </w:tc>
        <w:tc>
          <w:tcPr>
            <w:tcW w:w="1000" w:type="dxa"/>
            <w:tcBorders>
              <w:top w:val="single" w:sz="6" w:space="0" w:color="auto"/>
              <w:left w:val="single" w:sz="6" w:space="0" w:color="auto"/>
              <w:bottom w:val="single" w:sz="6" w:space="0" w:color="auto"/>
              <w:right w:val="single" w:sz="6" w:space="0" w:color="auto"/>
            </w:tcBorders>
            <w:vAlign w:val="center"/>
          </w:tcPr>
          <w:p w14:paraId="7AA2BDB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055717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3100" w:type="dxa"/>
            <w:tcBorders>
              <w:top w:val="single" w:sz="6" w:space="0" w:color="auto"/>
              <w:left w:val="single" w:sz="6" w:space="0" w:color="auto"/>
              <w:bottom w:val="single" w:sz="6" w:space="0" w:color="auto"/>
              <w:right w:val="single" w:sz="6" w:space="0" w:color="auto"/>
            </w:tcBorders>
            <w:vAlign w:val="center"/>
          </w:tcPr>
          <w:p w14:paraId="78EEEDD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 головний </w:t>
            </w:r>
            <w:proofErr w:type="spellStart"/>
            <w:r w:rsidRPr="004229C1">
              <w:rPr>
                <w:rFonts w:ascii="Times New Roman" w:hAnsi="Times New Roman" w:cs="Times New Roman"/>
                <w:kern w:val="0"/>
                <w:sz w:val="20"/>
                <w:szCs w:val="20"/>
                <w:lang w:val="uk-UA"/>
              </w:rPr>
              <w:t>спецiалiст</w:t>
            </w:r>
            <w:proofErr w:type="spellEnd"/>
            <w:r w:rsidRPr="004229C1">
              <w:rPr>
                <w:rFonts w:ascii="Times New Roman" w:hAnsi="Times New Roman" w:cs="Times New Roman"/>
                <w:kern w:val="0"/>
                <w:sz w:val="20"/>
                <w:szCs w:val="20"/>
                <w:lang w:val="uk-UA"/>
              </w:rPr>
              <w:t xml:space="preserve"> департаменту юридичної </w:t>
            </w:r>
            <w:proofErr w:type="spellStart"/>
            <w:r w:rsidRPr="004229C1">
              <w:rPr>
                <w:rFonts w:ascii="Times New Roman" w:hAnsi="Times New Roman" w:cs="Times New Roman"/>
                <w:kern w:val="0"/>
                <w:sz w:val="20"/>
                <w:szCs w:val="20"/>
                <w:lang w:val="uk-UA"/>
              </w:rPr>
              <w:t>пiдтримки</w:t>
            </w:r>
            <w:proofErr w:type="spellEnd"/>
            <w:r w:rsidRPr="004229C1">
              <w:rPr>
                <w:rFonts w:ascii="Times New Roman" w:hAnsi="Times New Roman" w:cs="Times New Roman"/>
                <w:kern w:val="0"/>
                <w:sz w:val="20"/>
                <w:szCs w:val="20"/>
                <w:lang w:val="uk-UA"/>
              </w:rPr>
              <w:t xml:space="preserve"> та генерального </w:t>
            </w:r>
            <w:proofErr w:type="spellStart"/>
            <w:r w:rsidRPr="004229C1">
              <w:rPr>
                <w:rFonts w:ascii="Times New Roman" w:hAnsi="Times New Roman" w:cs="Times New Roman"/>
                <w:kern w:val="0"/>
                <w:sz w:val="20"/>
                <w:szCs w:val="20"/>
                <w:lang w:val="uk-UA"/>
              </w:rPr>
              <w:t>секретарiату</w:t>
            </w:r>
            <w:proofErr w:type="spellEnd"/>
            <w:r w:rsidRPr="004229C1">
              <w:rPr>
                <w:rFonts w:ascii="Times New Roman" w:hAnsi="Times New Roman" w:cs="Times New Roman"/>
                <w:kern w:val="0"/>
                <w:sz w:val="20"/>
                <w:szCs w:val="20"/>
                <w:lang w:val="uk-UA"/>
              </w:rPr>
              <w:t xml:space="preserve"> 17.06.2020 по 02.06.2024, старший </w:t>
            </w:r>
            <w:proofErr w:type="spellStart"/>
            <w:r w:rsidRPr="004229C1">
              <w:rPr>
                <w:rFonts w:ascii="Times New Roman" w:hAnsi="Times New Roman" w:cs="Times New Roman"/>
                <w:kern w:val="0"/>
                <w:sz w:val="20"/>
                <w:szCs w:val="20"/>
                <w:lang w:val="uk-UA"/>
              </w:rPr>
              <w:t>спецiалiст</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генерального </w:t>
            </w:r>
            <w:proofErr w:type="spellStart"/>
            <w:r w:rsidRPr="004229C1">
              <w:rPr>
                <w:rFonts w:ascii="Times New Roman" w:hAnsi="Times New Roman" w:cs="Times New Roman"/>
                <w:kern w:val="0"/>
                <w:sz w:val="20"/>
                <w:szCs w:val="20"/>
                <w:lang w:val="uk-UA"/>
              </w:rPr>
              <w:t>секретарiату</w:t>
            </w:r>
            <w:proofErr w:type="spellEnd"/>
            <w:r w:rsidRPr="004229C1">
              <w:rPr>
                <w:rFonts w:ascii="Times New Roman" w:hAnsi="Times New Roman" w:cs="Times New Roman"/>
                <w:kern w:val="0"/>
                <w:sz w:val="20"/>
                <w:szCs w:val="20"/>
                <w:lang w:val="uk-UA"/>
              </w:rPr>
              <w:t xml:space="preserve"> 10.07.2017.-16.06.2020</w:t>
            </w:r>
          </w:p>
          <w:p w14:paraId="01267A5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3C30288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1400" w:type="dxa"/>
            <w:tcBorders>
              <w:top w:val="single" w:sz="6" w:space="0" w:color="auto"/>
              <w:left w:val="single" w:sz="6" w:space="0" w:color="auto"/>
              <w:bottom w:val="single" w:sz="6" w:space="0" w:color="auto"/>
              <w:right w:val="single" w:sz="6" w:space="0" w:color="auto"/>
            </w:tcBorders>
            <w:vAlign w:val="center"/>
          </w:tcPr>
          <w:p w14:paraId="1E90BE5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01.03.2024</w:t>
            </w:r>
          </w:p>
          <w:p w14:paraId="31E293A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в.о. корпоративного секретаря, 03.06.2024 - корпоративний секретар Безстроково</w:t>
            </w:r>
          </w:p>
        </w:tc>
        <w:tc>
          <w:tcPr>
            <w:tcW w:w="1400" w:type="dxa"/>
            <w:tcBorders>
              <w:top w:val="single" w:sz="6" w:space="0" w:color="auto"/>
              <w:left w:val="single" w:sz="6" w:space="0" w:color="auto"/>
              <w:bottom w:val="single" w:sz="6" w:space="0" w:color="auto"/>
            </w:tcBorders>
            <w:vAlign w:val="center"/>
          </w:tcPr>
          <w:p w14:paraId="5C47402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19311195" w14:textId="77777777" w:rsidTr="00B7794C">
        <w:trPr>
          <w:trHeight w:val="200"/>
        </w:trPr>
        <w:tc>
          <w:tcPr>
            <w:tcW w:w="550" w:type="dxa"/>
            <w:tcBorders>
              <w:top w:val="single" w:sz="6" w:space="0" w:color="auto"/>
              <w:bottom w:val="single" w:sz="6" w:space="0" w:color="auto"/>
              <w:right w:val="single" w:sz="6" w:space="0" w:color="auto"/>
            </w:tcBorders>
            <w:vAlign w:val="center"/>
          </w:tcPr>
          <w:p w14:paraId="16A022A9"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2050" w:type="dxa"/>
            <w:tcBorders>
              <w:top w:val="single" w:sz="6" w:space="0" w:color="auto"/>
              <w:left w:val="single" w:sz="6" w:space="0" w:color="auto"/>
              <w:bottom w:val="single" w:sz="6" w:space="0" w:color="auto"/>
              <w:right w:val="single" w:sz="6" w:space="0" w:color="auto"/>
            </w:tcBorders>
            <w:vAlign w:val="center"/>
          </w:tcPr>
          <w:p w14:paraId="185E7D4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Директор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7BF88BA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Лисенко Тетяна </w:t>
            </w:r>
            <w:proofErr w:type="spellStart"/>
            <w:r w:rsidRPr="004229C1">
              <w:rPr>
                <w:rFonts w:ascii="Times New Roman" w:hAnsi="Times New Roman" w:cs="Times New Roman"/>
                <w:kern w:val="0"/>
                <w:sz w:val="20"/>
                <w:szCs w:val="20"/>
                <w:lang w:val="uk-UA"/>
              </w:rPr>
              <w:t>Семенiвна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913038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397B14C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41D9F69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61D674F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B53288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28</w:t>
            </w:r>
          </w:p>
        </w:tc>
        <w:tc>
          <w:tcPr>
            <w:tcW w:w="3100" w:type="dxa"/>
            <w:tcBorders>
              <w:top w:val="single" w:sz="6" w:space="0" w:color="auto"/>
              <w:left w:val="single" w:sz="6" w:space="0" w:color="auto"/>
              <w:bottom w:val="single" w:sz="6" w:space="0" w:color="auto"/>
              <w:right w:val="single" w:sz="6" w:space="0" w:color="auto"/>
            </w:tcBorders>
            <w:vAlign w:val="center"/>
          </w:tcPr>
          <w:p w14:paraId="4047F28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14360920Начальник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аудиту Головного банку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аудиту05.02.2016- 22.12.2022. виконуючий обов'язки директора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 начальник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аудиту Головного банку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 02.07.2022.-22.12.2022.Директор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 23.12.2022</w:t>
            </w:r>
          </w:p>
          <w:p w14:paraId="23310E2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2BF7A19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55FFE28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p w14:paraId="54A1E40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 </w:t>
            </w:r>
          </w:p>
        </w:tc>
        <w:tc>
          <w:tcPr>
            <w:tcW w:w="1400" w:type="dxa"/>
            <w:tcBorders>
              <w:top w:val="single" w:sz="6" w:space="0" w:color="auto"/>
              <w:left w:val="single" w:sz="6" w:space="0" w:color="auto"/>
              <w:bottom w:val="single" w:sz="6" w:space="0" w:color="auto"/>
              <w:right w:val="single" w:sz="6" w:space="0" w:color="auto"/>
            </w:tcBorders>
            <w:vAlign w:val="center"/>
          </w:tcPr>
          <w:p w14:paraId="61B5C6F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02.07.2022</w:t>
            </w:r>
          </w:p>
          <w:p w14:paraId="159EFD8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в.о. директора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аудиту23.12.2022 директор департаменту </w:t>
            </w:r>
            <w:proofErr w:type="spellStart"/>
            <w:r w:rsidRPr="004229C1">
              <w:rPr>
                <w:rFonts w:ascii="Times New Roman" w:hAnsi="Times New Roman" w:cs="Times New Roman"/>
                <w:kern w:val="0"/>
                <w:sz w:val="20"/>
                <w:szCs w:val="20"/>
                <w:lang w:val="uk-UA"/>
              </w:rPr>
              <w:t>внутрiшнього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ауд</w:t>
            </w:r>
            <w:proofErr w:type="spellEnd"/>
          </w:p>
        </w:tc>
        <w:tc>
          <w:tcPr>
            <w:tcW w:w="1400" w:type="dxa"/>
            <w:tcBorders>
              <w:top w:val="single" w:sz="6" w:space="0" w:color="auto"/>
              <w:left w:val="single" w:sz="6" w:space="0" w:color="auto"/>
              <w:bottom w:val="single" w:sz="6" w:space="0" w:color="auto"/>
            </w:tcBorders>
            <w:vAlign w:val="center"/>
          </w:tcPr>
          <w:p w14:paraId="0F71BB7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r w:rsidR="005E6C62" w:rsidRPr="004229C1" w14:paraId="53FA0493" w14:textId="77777777" w:rsidTr="00B7794C">
        <w:trPr>
          <w:trHeight w:val="200"/>
        </w:trPr>
        <w:tc>
          <w:tcPr>
            <w:tcW w:w="550" w:type="dxa"/>
            <w:tcBorders>
              <w:top w:val="single" w:sz="6" w:space="0" w:color="auto"/>
              <w:bottom w:val="single" w:sz="6" w:space="0" w:color="auto"/>
              <w:right w:val="single" w:sz="6" w:space="0" w:color="auto"/>
            </w:tcBorders>
            <w:vAlign w:val="center"/>
          </w:tcPr>
          <w:p w14:paraId="0A7C3CB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2050" w:type="dxa"/>
            <w:tcBorders>
              <w:top w:val="single" w:sz="6" w:space="0" w:color="auto"/>
              <w:left w:val="single" w:sz="6" w:space="0" w:color="auto"/>
              <w:bottom w:val="single" w:sz="6" w:space="0" w:color="auto"/>
              <w:right w:val="single" w:sz="6" w:space="0" w:color="auto"/>
            </w:tcBorders>
            <w:vAlign w:val="center"/>
          </w:tcPr>
          <w:p w14:paraId="5B31620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Директор департаменту планування та контролю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1089F5C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w:hAnsi="Times New Roman" w:cs="Times New Roman"/>
                <w:kern w:val="0"/>
                <w:sz w:val="20"/>
                <w:szCs w:val="20"/>
                <w:lang w:val="uk-UA"/>
              </w:rPr>
              <w:t>Баркар</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Iрина</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Вiкторiвна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17A6308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14:paraId="5DA07A1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14:paraId="7078B66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1985</w:t>
            </w:r>
          </w:p>
        </w:tc>
        <w:tc>
          <w:tcPr>
            <w:tcW w:w="1000" w:type="dxa"/>
            <w:tcBorders>
              <w:top w:val="single" w:sz="6" w:space="0" w:color="auto"/>
              <w:left w:val="single" w:sz="6" w:space="0" w:color="auto"/>
              <w:bottom w:val="single" w:sz="6" w:space="0" w:color="auto"/>
              <w:right w:val="single" w:sz="6" w:space="0" w:color="auto"/>
            </w:tcBorders>
            <w:vAlign w:val="center"/>
          </w:tcPr>
          <w:p w14:paraId="61FA2C10"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57946E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17</w:t>
            </w:r>
          </w:p>
        </w:tc>
        <w:tc>
          <w:tcPr>
            <w:tcW w:w="3100" w:type="dxa"/>
            <w:tcBorders>
              <w:top w:val="single" w:sz="6" w:space="0" w:color="auto"/>
              <w:left w:val="single" w:sz="6" w:space="0" w:color="auto"/>
              <w:bottom w:val="single" w:sz="6" w:space="0" w:color="auto"/>
              <w:right w:val="single" w:sz="6" w:space="0" w:color="auto"/>
            </w:tcBorders>
            <w:vAlign w:val="center"/>
          </w:tcPr>
          <w:p w14:paraId="28A173F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АТ "ПРАВЕКС БАНК", 14360920Головний </w:t>
            </w:r>
            <w:proofErr w:type="spellStart"/>
            <w:r w:rsidRPr="004229C1">
              <w:rPr>
                <w:rFonts w:ascii="Times New Roman" w:hAnsi="Times New Roman" w:cs="Times New Roman"/>
                <w:kern w:val="0"/>
                <w:sz w:val="20"/>
                <w:szCs w:val="20"/>
                <w:lang w:val="uk-UA"/>
              </w:rPr>
              <w:t>економiст</w:t>
            </w:r>
            <w:proofErr w:type="spellEnd"/>
            <w:r w:rsidRPr="004229C1">
              <w:rPr>
                <w:rFonts w:ascii="Times New Roman" w:hAnsi="Times New Roman" w:cs="Times New Roman"/>
                <w:kern w:val="0"/>
                <w:sz w:val="20"/>
                <w:szCs w:val="20"/>
                <w:lang w:val="uk-UA"/>
              </w:rPr>
              <w:t xml:space="preserve"> департаменту планування i контролю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16.12.2014-06.09.2020  директор департаменту планування i контролю головного </w:t>
            </w:r>
            <w:proofErr w:type="spellStart"/>
            <w:r w:rsidRPr="004229C1">
              <w:rPr>
                <w:rFonts w:ascii="Times New Roman" w:hAnsi="Times New Roman" w:cs="Times New Roman"/>
                <w:kern w:val="0"/>
                <w:sz w:val="20"/>
                <w:szCs w:val="20"/>
                <w:lang w:val="uk-UA"/>
              </w:rPr>
              <w:t>фiнансового</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управлiння</w:t>
            </w:r>
            <w:proofErr w:type="spellEnd"/>
            <w:r w:rsidRPr="004229C1">
              <w:rPr>
                <w:rFonts w:ascii="Times New Roman" w:hAnsi="Times New Roman" w:cs="Times New Roman"/>
                <w:kern w:val="0"/>
                <w:sz w:val="20"/>
                <w:szCs w:val="20"/>
                <w:lang w:val="uk-UA"/>
              </w:rPr>
              <w:t xml:space="preserve"> 07.09.2020</w:t>
            </w:r>
          </w:p>
          <w:p w14:paraId="54E9B99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p w14:paraId="2581DC4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1400" w:type="dxa"/>
            <w:tcBorders>
              <w:top w:val="single" w:sz="6" w:space="0" w:color="auto"/>
              <w:left w:val="single" w:sz="6" w:space="0" w:color="auto"/>
              <w:bottom w:val="single" w:sz="6" w:space="0" w:color="auto"/>
              <w:right w:val="single" w:sz="6" w:space="0" w:color="auto"/>
            </w:tcBorders>
            <w:vAlign w:val="center"/>
          </w:tcPr>
          <w:p w14:paraId="01EC646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07.09.2020</w:t>
            </w:r>
          </w:p>
          <w:p w14:paraId="64D40693"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безстроково</w:t>
            </w:r>
          </w:p>
        </w:tc>
        <w:tc>
          <w:tcPr>
            <w:tcW w:w="1400" w:type="dxa"/>
            <w:tcBorders>
              <w:top w:val="single" w:sz="6" w:space="0" w:color="auto"/>
              <w:left w:val="single" w:sz="6" w:space="0" w:color="auto"/>
              <w:bottom w:val="single" w:sz="6" w:space="0" w:color="auto"/>
            </w:tcBorders>
            <w:vAlign w:val="center"/>
          </w:tcPr>
          <w:p w14:paraId="350D22B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r>
    </w:tbl>
    <w:p w14:paraId="398E4E6C"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sz w:val="20"/>
          <w:szCs w:val="20"/>
          <w:lang w:val="uk-UA"/>
        </w:rPr>
      </w:pPr>
    </w:p>
    <w:p w14:paraId="236368F7" w14:textId="77777777" w:rsidR="005E6C62" w:rsidRPr="004229C1" w:rsidRDefault="005E6C62" w:rsidP="005E6C62">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Інформація щодо корпоративного секретаря</w:t>
      </w:r>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5E6C62" w:rsidRPr="004229C1" w14:paraId="127D77B6" w14:textId="77777777" w:rsidTr="00B7794C">
        <w:trPr>
          <w:trHeight w:val="200"/>
        </w:trPr>
        <w:tc>
          <w:tcPr>
            <w:tcW w:w="1350" w:type="dxa"/>
            <w:tcBorders>
              <w:top w:val="single" w:sz="6" w:space="0" w:color="auto"/>
              <w:bottom w:val="single" w:sz="6" w:space="0" w:color="auto"/>
              <w:right w:val="single" w:sz="6" w:space="0" w:color="auto"/>
            </w:tcBorders>
            <w:vAlign w:val="center"/>
          </w:tcPr>
          <w:p w14:paraId="37BE9C8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2686D35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1D6749B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1E849EE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60D16D3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5D58D57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340300D1"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724314A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Контактні дані (телефон та адреса електронної пошти корпоративного секретаря)</w:t>
            </w:r>
          </w:p>
        </w:tc>
      </w:tr>
      <w:tr w:rsidR="005E6C62" w:rsidRPr="004229C1" w14:paraId="1237973F" w14:textId="77777777" w:rsidTr="00B7794C">
        <w:trPr>
          <w:trHeight w:val="200"/>
        </w:trPr>
        <w:tc>
          <w:tcPr>
            <w:tcW w:w="1350" w:type="dxa"/>
            <w:tcBorders>
              <w:top w:val="single" w:sz="6" w:space="0" w:color="auto"/>
              <w:bottom w:val="single" w:sz="6" w:space="0" w:color="auto"/>
              <w:right w:val="single" w:sz="6" w:space="0" w:color="auto"/>
            </w:tcBorders>
            <w:vAlign w:val="center"/>
          </w:tcPr>
          <w:p w14:paraId="7266379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2250" w:type="dxa"/>
            <w:tcBorders>
              <w:top w:val="single" w:sz="6" w:space="0" w:color="auto"/>
              <w:left w:val="single" w:sz="6" w:space="0" w:color="auto"/>
              <w:bottom w:val="single" w:sz="6" w:space="0" w:color="auto"/>
              <w:right w:val="single" w:sz="6" w:space="0" w:color="auto"/>
            </w:tcBorders>
            <w:vAlign w:val="center"/>
          </w:tcPr>
          <w:p w14:paraId="566F77B7"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1300" w:type="dxa"/>
            <w:tcBorders>
              <w:top w:val="single" w:sz="6" w:space="0" w:color="auto"/>
              <w:left w:val="single" w:sz="6" w:space="0" w:color="auto"/>
              <w:bottom w:val="single" w:sz="6" w:space="0" w:color="auto"/>
              <w:right w:val="single" w:sz="6" w:space="0" w:color="auto"/>
            </w:tcBorders>
            <w:vAlign w:val="center"/>
          </w:tcPr>
          <w:p w14:paraId="0D509BFF"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1300" w:type="dxa"/>
            <w:tcBorders>
              <w:top w:val="single" w:sz="6" w:space="0" w:color="auto"/>
              <w:left w:val="single" w:sz="6" w:space="0" w:color="auto"/>
              <w:bottom w:val="single" w:sz="6" w:space="0" w:color="auto"/>
              <w:right w:val="single" w:sz="6" w:space="0" w:color="auto"/>
            </w:tcBorders>
            <w:vAlign w:val="center"/>
          </w:tcPr>
          <w:p w14:paraId="687D4A6B"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1200" w:type="dxa"/>
            <w:tcBorders>
              <w:top w:val="single" w:sz="6" w:space="0" w:color="auto"/>
              <w:left w:val="single" w:sz="6" w:space="0" w:color="auto"/>
              <w:bottom w:val="single" w:sz="6" w:space="0" w:color="auto"/>
              <w:right w:val="single" w:sz="6" w:space="0" w:color="auto"/>
            </w:tcBorders>
            <w:vAlign w:val="center"/>
          </w:tcPr>
          <w:p w14:paraId="299CE156"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c>
          <w:tcPr>
            <w:tcW w:w="4700" w:type="dxa"/>
            <w:tcBorders>
              <w:top w:val="single" w:sz="6" w:space="0" w:color="auto"/>
              <w:left w:val="single" w:sz="6" w:space="0" w:color="auto"/>
              <w:bottom w:val="single" w:sz="6" w:space="0" w:color="auto"/>
              <w:right w:val="single" w:sz="6" w:space="0" w:color="auto"/>
            </w:tcBorders>
            <w:vAlign w:val="center"/>
          </w:tcPr>
          <w:p w14:paraId="027D5A6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6</w:t>
            </w:r>
          </w:p>
        </w:tc>
        <w:tc>
          <w:tcPr>
            <w:tcW w:w="1400" w:type="dxa"/>
            <w:tcBorders>
              <w:top w:val="single" w:sz="6" w:space="0" w:color="auto"/>
              <w:left w:val="single" w:sz="6" w:space="0" w:color="auto"/>
              <w:bottom w:val="single" w:sz="6" w:space="0" w:color="auto"/>
              <w:right w:val="single" w:sz="6" w:space="0" w:color="auto"/>
            </w:tcBorders>
            <w:vAlign w:val="center"/>
          </w:tcPr>
          <w:p w14:paraId="1E016002"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1900" w:type="dxa"/>
            <w:tcBorders>
              <w:top w:val="single" w:sz="6" w:space="0" w:color="auto"/>
              <w:left w:val="single" w:sz="6" w:space="0" w:color="auto"/>
              <w:bottom w:val="single" w:sz="6" w:space="0" w:color="auto"/>
            </w:tcBorders>
            <w:vAlign w:val="center"/>
          </w:tcPr>
          <w:p w14:paraId="35CCF09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8</w:t>
            </w:r>
          </w:p>
        </w:tc>
      </w:tr>
      <w:tr w:rsidR="00B7794C" w:rsidRPr="004229C1" w14:paraId="2FB38B12" w14:textId="77777777" w:rsidTr="00B7794C">
        <w:trPr>
          <w:trHeight w:val="200"/>
        </w:trPr>
        <w:tc>
          <w:tcPr>
            <w:tcW w:w="1350" w:type="dxa"/>
            <w:tcBorders>
              <w:top w:val="single" w:sz="6" w:space="0" w:color="auto"/>
              <w:bottom w:val="single" w:sz="6" w:space="0" w:color="auto"/>
              <w:right w:val="single" w:sz="6" w:space="0" w:color="auto"/>
            </w:tcBorders>
            <w:vAlign w:val="center"/>
          </w:tcPr>
          <w:p w14:paraId="400BBFC9" w14:textId="1519D891"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24.07.2021</w:t>
            </w:r>
          </w:p>
        </w:tc>
        <w:tc>
          <w:tcPr>
            <w:tcW w:w="2250" w:type="dxa"/>
            <w:tcBorders>
              <w:top w:val="single" w:sz="6" w:space="0" w:color="auto"/>
              <w:left w:val="single" w:sz="6" w:space="0" w:color="auto"/>
              <w:bottom w:val="single" w:sz="6" w:space="0" w:color="auto"/>
              <w:right w:val="single" w:sz="6" w:space="0" w:color="auto"/>
            </w:tcBorders>
            <w:vAlign w:val="center"/>
          </w:tcPr>
          <w:p w14:paraId="1DC95E2F" w14:textId="1B95EB40"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roofErr w:type="spellStart"/>
            <w:r w:rsidRPr="004229C1">
              <w:rPr>
                <w:rFonts w:ascii="Times New Roman CYR" w:hAnsi="Times New Roman CYR" w:cs="Times New Roman CYR"/>
                <w:kern w:val="0"/>
                <w:sz w:val="20"/>
                <w:szCs w:val="20"/>
                <w:lang w:val="uk-UA"/>
              </w:rPr>
              <w:t>Дмитрiєва</w:t>
            </w:r>
            <w:proofErr w:type="spellEnd"/>
            <w:r w:rsidRPr="004229C1">
              <w:rPr>
                <w:rFonts w:ascii="Times New Roman CYR" w:hAnsi="Times New Roman CYR" w:cs="Times New Roman CYR"/>
                <w:kern w:val="0"/>
                <w:sz w:val="20"/>
                <w:szCs w:val="20"/>
                <w:lang w:val="uk-UA"/>
              </w:rPr>
              <w:t xml:space="preserve"> </w:t>
            </w:r>
            <w:proofErr w:type="spellStart"/>
            <w:r w:rsidRPr="004229C1">
              <w:rPr>
                <w:rFonts w:ascii="Times New Roman CYR" w:hAnsi="Times New Roman CYR" w:cs="Times New Roman CYR"/>
                <w:kern w:val="0"/>
                <w:sz w:val="20"/>
                <w:szCs w:val="20"/>
                <w:lang w:val="uk-UA"/>
              </w:rPr>
              <w:t>Анастасiя</w:t>
            </w:r>
            <w:proofErr w:type="spellEnd"/>
            <w:r w:rsidRPr="004229C1">
              <w:rPr>
                <w:rFonts w:ascii="Times New Roman CYR" w:hAnsi="Times New Roman CYR" w:cs="Times New Roman CYR"/>
                <w:kern w:val="0"/>
                <w:sz w:val="20"/>
                <w:szCs w:val="20"/>
                <w:lang w:val="uk-UA"/>
              </w:rPr>
              <w:t xml:space="preserve"> </w:t>
            </w:r>
            <w:proofErr w:type="spellStart"/>
            <w:r w:rsidRPr="004229C1">
              <w:rPr>
                <w:rFonts w:ascii="Times New Roman CYR" w:hAnsi="Times New Roman CYR" w:cs="Times New Roman CYR"/>
                <w:kern w:val="0"/>
                <w:sz w:val="20"/>
                <w:szCs w:val="20"/>
                <w:lang w:val="uk-UA"/>
              </w:rPr>
              <w:t>Олександрiвна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512EF495" w14:textId="77777777"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14:paraId="1169EB39" w14:textId="77777777"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200" w:type="dxa"/>
            <w:tcBorders>
              <w:top w:val="single" w:sz="6" w:space="0" w:color="auto"/>
              <w:left w:val="single" w:sz="6" w:space="0" w:color="auto"/>
              <w:bottom w:val="single" w:sz="6" w:space="0" w:color="auto"/>
              <w:right w:val="single" w:sz="6" w:space="0" w:color="auto"/>
            </w:tcBorders>
            <w:vAlign w:val="center"/>
          </w:tcPr>
          <w:p w14:paraId="27719D2F" w14:textId="616EAF0B"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15</w:t>
            </w:r>
          </w:p>
        </w:tc>
        <w:tc>
          <w:tcPr>
            <w:tcW w:w="4700" w:type="dxa"/>
            <w:tcBorders>
              <w:top w:val="single" w:sz="6" w:space="0" w:color="auto"/>
              <w:left w:val="single" w:sz="6" w:space="0" w:color="auto"/>
              <w:bottom w:val="single" w:sz="6" w:space="0" w:color="auto"/>
              <w:right w:val="single" w:sz="6" w:space="0" w:color="auto"/>
            </w:tcBorders>
            <w:vAlign w:val="center"/>
          </w:tcPr>
          <w:p w14:paraId="4CA7E5BF" w14:textId="28928932"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АТ «ІНГ Банк Україна</w:t>
            </w:r>
            <w:r w:rsidR="00085CA8" w:rsidRPr="004229C1">
              <w:rPr>
                <w:rFonts w:ascii="Times New Roman CYR" w:hAnsi="Times New Roman CYR" w:cs="Times New Roman CYR"/>
                <w:kern w:val="0"/>
                <w:sz w:val="20"/>
                <w:szCs w:val="20"/>
                <w:lang w:val="uk-UA"/>
              </w:rPr>
              <w:t>»</w:t>
            </w:r>
            <w:r w:rsidRPr="004229C1">
              <w:rPr>
                <w:rFonts w:ascii="Times New Roman CYR" w:hAnsi="Times New Roman CYR" w:cs="Times New Roman CYR"/>
                <w:kern w:val="0"/>
                <w:sz w:val="20"/>
                <w:szCs w:val="20"/>
                <w:lang w:val="uk-UA"/>
              </w:rPr>
              <w:t>, 21684818, юридичний радник 19.07.2016-30.06.2021</w:t>
            </w:r>
          </w:p>
        </w:tc>
        <w:tc>
          <w:tcPr>
            <w:tcW w:w="1400" w:type="dxa"/>
            <w:tcBorders>
              <w:top w:val="single" w:sz="6" w:space="0" w:color="auto"/>
              <w:left w:val="single" w:sz="6" w:space="0" w:color="auto"/>
              <w:bottom w:val="single" w:sz="6" w:space="0" w:color="auto"/>
              <w:right w:val="single" w:sz="6" w:space="0" w:color="auto"/>
            </w:tcBorders>
            <w:vAlign w:val="center"/>
          </w:tcPr>
          <w:p w14:paraId="6025A9C6" w14:textId="62538026"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Ні</w:t>
            </w:r>
          </w:p>
        </w:tc>
        <w:tc>
          <w:tcPr>
            <w:tcW w:w="1900" w:type="dxa"/>
            <w:tcBorders>
              <w:top w:val="single" w:sz="6" w:space="0" w:color="auto"/>
              <w:left w:val="single" w:sz="6" w:space="0" w:color="auto"/>
              <w:bottom w:val="single" w:sz="6" w:space="0" w:color="auto"/>
            </w:tcBorders>
            <w:vAlign w:val="center"/>
          </w:tcPr>
          <w:p w14:paraId="0CD270C0" w14:textId="6DA032FB" w:rsidR="00B7794C" w:rsidRPr="004229C1" w:rsidRDefault="00E37AD7" w:rsidP="00B7794C">
            <w:pPr>
              <w:widowControl w:val="0"/>
              <w:autoSpaceDE w:val="0"/>
              <w:autoSpaceDN w:val="0"/>
              <w:adjustRightInd w:val="0"/>
              <w:spacing w:after="0" w:line="240" w:lineRule="auto"/>
              <w:jc w:val="center"/>
              <w:rPr>
                <w:rFonts w:ascii="Times New Roman CYR" w:hAnsi="Times New Roman CYR" w:cs="Times New Roman CYR"/>
                <w:kern w:val="0"/>
                <w:sz w:val="20"/>
                <w:szCs w:val="20"/>
                <w:lang w:val="uk-UA"/>
              </w:rPr>
            </w:pPr>
            <w:r w:rsidRPr="004229C1">
              <w:rPr>
                <w:rFonts w:ascii="Times New Roman CYR" w:hAnsi="Times New Roman CYR" w:cs="Times New Roman CYR"/>
                <w:kern w:val="0"/>
                <w:sz w:val="20"/>
                <w:szCs w:val="20"/>
                <w:lang w:val="uk-UA"/>
              </w:rPr>
              <w:t>+38</w:t>
            </w:r>
            <w:r w:rsidR="00B7794C" w:rsidRPr="004229C1">
              <w:rPr>
                <w:rFonts w:ascii="Times New Roman CYR" w:hAnsi="Times New Roman CYR" w:cs="Times New Roman CYR"/>
                <w:kern w:val="0"/>
                <w:sz w:val="20"/>
                <w:szCs w:val="20"/>
                <w:lang w:val="uk-UA"/>
              </w:rPr>
              <w:t>0954032222</w:t>
            </w:r>
          </w:p>
          <w:p w14:paraId="1FEF0585" w14:textId="003C3C90" w:rsidR="00B7794C" w:rsidRPr="004229C1" w:rsidRDefault="00B7794C" w:rsidP="00B7794C">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CYR" w:hAnsi="Times New Roman CYR" w:cs="Times New Roman CYR"/>
                <w:kern w:val="0"/>
                <w:sz w:val="20"/>
                <w:szCs w:val="20"/>
                <w:lang w:val="uk-UA"/>
              </w:rPr>
              <w:t>Anastasiia.Dmytriieva@pravex.ua</w:t>
            </w:r>
          </w:p>
        </w:tc>
      </w:tr>
      <w:tr w:rsidR="005E6C62" w:rsidRPr="004229C1" w14:paraId="24FA448C" w14:textId="77777777" w:rsidTr="00B7794C">
        <w:trPr>
          <w:trHeight w:val="200"/>
        </w:trPr>
        <w:tc>
          <w:tcPr>
            <w:tcW w:w="1350" w:type="dxa"/>
            <w:tcBorders>
              <w:top w:val="single" w:sz="6" w:space="0" w:color="auto"/>
              <w:bottom w:val="single" w:sz="6" w:space="0" w:color="auto"/>
              <w:right w:val="single" w:sz="6" w:space="0" w:color="auto"/>
            </w:tcBorders>
            <w:vAlign w:val="center"/>
          </w:tcPr>
          <w:p w14:paraId="79B2080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01.03.2024</w:t>
            </w:r>
          </w:p>
        </w:tc>
        <w:tc>
          <w:tcPr>
            <w:tcW w:w="2250" w:type="dxa"/>
            <w:tcBorders>
              <w:top w:val="single" w:sz="6" w:space="0" w:color="auto"/>
              <w:left w:val="single" w:sz="6" w:space="0" w:color="auto"/>
              <w:bottom w:val="single" w:sz="6" w:space="0" w:color="auto"/>
              <w:right w:val="single" w:sz="6" w:space="0" w:color="auto"/>
            </w:tcBorders>
            <w:vAlign w:val="center"/>
          </w:tcPr>
          <w:p w14:paraId="3DEBD57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Федорова Дар'я </w:t>
            </w:r>
            <w:proofErr w:type="spellStart"/>
            <w:r w:rsidRPr="004229C1">
              <w:rPr>
                <w:rFonts w:ascii="Times New Roman" w:hAnsi="Times New Roman" w:cs="Times New Roman"/>
                <w:kern w:val="0"/>
                <w:sz w:val="20"/>
                <w:szCs w:val="20"/>
                <w:lang w:val="uk-UA"/>
              </w:rPr>
              <w:t>Анатолiївна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1B68B15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14:paraId="1A68F7AE"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p>
        </w:tc>
        <w:tc>
          <w:tcPr>
            <w:tcW w:w="1200" w:type="dxa"/>
            <w:tcBorders>
              <w:top w:val="single" w:sz="6" w:space="0" w:color="auto"/>
              <w:left w:val="single" w:sz="6" w:space="0" w:color="auto"/>
              <w:bottom w:val="single" w:sz="6" w:space="0" w:color="auto"/>
              <w:right w:val="single" w:sz="6" w:space="0" w:color="auto"/>
            </w:tcBorders>
            <w:vAlign w:val="center"/>
          </w:tcPr>
          <w:p w14:paraId="47F29F3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7</w:t>
            </w:r>
          </w:p>
        </w:tc>
        <w:tc>
          <w:tcPr>
            <w:tcW w:w="4700" w:type="dxa"/>
            <w:tcBorders>
              <w:top w:val="single" w:sz="6" w:space="0" w:color="auto"/>
              <w:left w:val="single" w:sz="6" w:space="0" w:color="auto"/>
              <w:bottom w:val="single" w:sz="6" w:space="0" w:color="auto"/>
              <w:right w:val="single" w:sz="6" w:space="0" w:color="auto"/>
            </w:tcBorders>
            <w:vAlign w:val="center"/>
          </w:tcPr>
          <w:p w14:paraId="41D29BA8"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АТ "ПРАВЕКС БАНК"</w:t>
            </w:r>
          </w:p>
          <w:p w14:paraId="47AA48FC"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14360920</w:t>
            </w:r>
          </w:p>
          <w:p w14:paraId="6ABEB3ED"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Корпоративний секретар департаменту юридичної </w:t>
            </w:r>
            <w:proofErr w:type="spellStart"/>
            <w:r w:rsidRPr="004229C1">
              <w:rPr>
                <w:rFonts w:ascii="Times New Roman" w:hAnsi="Times New Roman" w:cs="Times New Roman"/>
                <w:kern w:val="0"/>
                <w:sz w:val="20"/>
                <w:szCs w:val="20"/>
                <w:lang w:val="uk-UA"/>
              </w:rPr>
              <w:t>пiдтримки</w:t>
            </w:r>
            <w:proofErr w:type="spellEnd"/>
            <w:r w:rsidRPr="004229C1">
              <w:rPr>
                <w:rFonts w:ascii="Times New Roman" w:hAnsi="Times New Roman" w:cs="Times New Roman"/>
                <w:kern w:val="0"/>
                <w:sz w:val="20"/>
                <w:szCs w:val="20"/>
                <w:lang w:val="uk-UA"/>
              </w:rPr>
              <w:t xml:space="preserve"> та генерального </w:t>
            </w:r>
            <w:proofErr w:type="spellStart"/>
            <w:r w:rsidRPr="004229C1">
              <w:rPr>
                <w:rFonts w:ascii="Times New Roman" w:hAnsi="Times New Roman" w:cs="Times New Roman"/>
                <w:kern w:val="0"/>
                <w:sz w:val="20"/>
                <w:szCs w:val="20"/>
                <w:lang w:val="uk-UA"/>
              </w:rPr>
              <w:t>секретарiату</w:t>
            </w:r>
            <w:proofErr w:type="spellEnd"/>
            <w:r w:rsidRPr="004229C1">
              <w:rPr>
                <w:rFonts w:ascii="Times New Roman" w:hAnsi="Times New Roman" w:cs="Times New Roman"/>
                <w:kern w:val="0"/>
                <w:sz w:val="20"/>
                <w:szCs w:val="20"/>
                <w:lang w:val="uk-UA"/>
              </w:rPr>
              <w:t xml:space="preserve"> з 03.06.2024 по </w:t>
            </w:r>
            <w:proofErr w:type="spellStart"/>
            <w:r w:rsidRPr="004229C1">
              <w:rPr>
                <w:rFonts w:ascii="Times New Roman" w:hAnsi="Times New Roman" w:cs="Times New Roman"/>
                <w:kern w:val="0"/>
                <w:sz w:val="20"/>
                <w:szCs w:val="20"/>
                <w:lang w:val="uk-UA"/>
              </w:rPr>
              <w:t>теперiшнiй</w:t>
            </w:r>
            <w:proofErr w:type="spellEnd"/>
            <w:r w:rsidRPr="004229C1">
              <w:rPr>
                <w:rFonts w:ascii="Times New Roman" w:hAnsi="Times New Roman" w:cs="Times New Roman"/>
                <w:kern w:val="0"/>
                <w:sz w:val="20"/>
                <w:szCs w:val="20"/>
                <w:lang w:val="uk-UA"/>
              </w:rPr>
              <w:t xml:space="preserve"> час, в.о. корпоративного секретаря 01.03.2024-02.06.2024,головний </w:t>
            </w:r>
            <w:proofErr w:type="spellStart"/>
            <w:r w:rsidRPr="004229C1">
              <w:rPr>
                <w:rFonts w:ascii="Times New Roman" w:hAnsi="Times New Roman" w:cs="Times New Roman"/>
                <w:kern w:val="0"/>
                <w:sz w:val="20"/>
                <w:szCs w:val="20"/>
                <w:lang w:val="uk-UA"/>
              </w:rPr>
              <w:t>спецiалiст</w:t>
            </w:r>
            <w:proofErr w:type="spellEnd"/>
            <w:r w:rsidRPr="004229C1">
              <w:rPr>
                <w:rFonts w:ascii="Times New Roman" w:hAnsi="Times New Roman" w:cs="Times New Roman"/>
                <w:kern w:val="0"/>
                <w:sz w:val="20"/>
                <w:szCs w:val="20"/>
                <w:lang w:val="uk-UA"/>
              </w:rPr>
              <w:t xml:space="preserve"> департаменту юридичної </w:t>
            </w:r>
            <w:proofErr w:type="spellStart"/>
            <w:r w:rsidRPr="004229C1">
              <w:rPr>
                <w:rFonts w:ascii="Times New Roman" w:hAnsi="Times New Roman" w:cs="Times New Roman"/>
                <w:kern w:val="0"/>
                <w:sz w:val="20"/>
                <w:szCs w:val="20"/>
                <w:lang w:val="uk-UA"/>
              </w:rPr>
              <w:t>пiдтримки</w:t>
            </w:r>
            <w:proofErr w:type="spellEnd"/>
            <w:r w:rsidRPr="004229C1">
              <w:rPr>
                <w:rFonts w:ascii="Times New Roman" w:hAnsi="Times New Roman" w:cs="Times New Roman"/>
                <w:kern w:val="0"/>
                <w:sz w:val="20"/>
                <w:szCs w:val="20"/>
                <w:lang w:val="uk-UA"/>
              </w:rPr>
              <w:t xml:space="preserve"> та генерального </w:t>
            </w:r>
            <w:proofErr w:type="spellStart"/>
            <w:r w:rsidRPr="004229C1">
              <w:rPr>
                <w:rFonts w:ascii="Times New Roman" w:hAnsi="Times New Roman" w:cs="Times New Roman"/>
                <w:kern w:val="0"/>
                <w:sz w:val="20"/>
                <w:szCs w:val="20"/>
                <w:lang w:val="uk-UA"/>
              </w:rPr>
              <w:t>секретарiату</w:t>
            </w:r>
            <w:proofErr w:type="spellEnd"/>
            <w:r w:rsidRPr="004229C1">
              <w:rPr>
                <w:rFonts w:ascii="Times New Roman" w:hAnsi="Times New Roman" w:cs="Times New Roman"/>
                <w:kern w:val="0"/>
                <w:sz w:val="20"/>
                <w:szCs w:val="20"/>
                <w:lang w:val="uk-UA"/>
              </w:rPr>
              <w:t xml:space="preserve"> 17.06.2020 - 02.06.2024,, старший </w:t>
            </w:r>
            <w:proofErr w:type="spellStart"/>
            <w:r w:rsidRPr="004229C1">
              <w:rPr>
                <w:rFonts w:ascii="Times New Roman" w:hAnsi="Times New Roman" w:cs="Times New Roman"/>
                <w:kern w:val="0"/>
                <w:sz w:val="20"/>
                <w:szCs w:val="20"/>
                <w:lang w:val="uk-UA"/>
              </w:rPr>
              <w:t>спецiалiст</w:t>
            </w:r>
            <w:proofErr w:type="spellEnd"/>
            <w:r w:rsidRPr="004229C1">
              <w:rPr>
                <w:rFonts w:ascii="Times New Roman" w:hAnsi="Times New Roman" w:cs="Times New Roman"/>
                <w:kern w:val="0"/>
                <w:sz w:val="20"/>
                <w:szCs w:val="20"/>
                <w:lang w:val="uk-UA"/>
              </w:rPr>
              <w:t xml:space="preserve"> </w:t>
            </w:r>
            <w:proofErr w:type="spellStart"/>
            <w:r w:rsidRPr="004229C1">
              <w:rPr>
                <w:rFonts w:ascii="Times New Roman" w:hAnsi="Times New Roman" w:cs="Times New Roman"/>
                <w:kern w:val="0"/>
                <w:sz w:val="20"/>
                <w:szCs w:val="20"/>
                <w:lang w:val="uk-UA"/>
              </w:rPr>
              <w:t>вiддiлу</w:t>
            </w:r>
            <w:proofErr w:type="spellEnd"/>
            <w:r w:rsidRPr="004229C1">
              <w:rPr>
                <w:rFonts w:ascii="Times New Roman" w:hAnsi="Times New Roman" w:cs="Times New Roman"/>
                <w:kern w:val="0"/>
                <w:sz w:val="20"/>
                <w:szCs w:val="20"/>
                <w:lang w:val="uk-UA"/>
              </w:rPr>
              <w:t xml:space="preserve"> генерального </w:t>
            </w:r>
            <w:proofErr w:type="spellStart"/>
            <w:r w:rsidRPr="004229C1">
              <w:rPr>
                <w:rFonts w:ascii="Times New Roman" w:hAnsi="Times New Roman" w:cs="Times New Roman"/>
                <w:kern w:val="0"/>
                <w:sz w:val="20"/>
                <w:szCs w:val="20"/>
                <w:lang w:val="uk-UA"/>
              </w:rPr>
              <w:t>секретарiату</w:t>
            </w:r>
            <w:proofErr w:type="spellEnd"/>
            <w:r w:rsidRPr="004229C1">
              <w:rPr>
                <w:rFonts w:ascii="Times New Roman" w:hAnsi="Times New Roman" w:cs="Times New Roman"/>
                <w:kern w:val="0"/>
                <w:sz w:val="20"/>
                <w:szCs w:val="20"/>
                <w:lang w:val="uk-UA"/>
              </w:rPr>
              <w:t xml:space="preserve"> 10.07.2017.-16.06.2020</w:t>
            </w:r>
          </w:p>
        </w:tc>
        <w:tc>
          <w:tcPr>
            <w:tcW w:w="1400" w:type="dxa"/>
            <w:tcBorders>
              <w:top w:val="single" w:sz="6" w:space="0" w:color="auto"/>
              <w:left w:val="single" w:sz="6" w:space="0" w:color="auto"/>
              <w:bottom w:val="single" w:sz="6" w:space="0" w:color="auto"/>
              <w:right w:val="single" w:sz="6" w:space="0" w:color="auto"/>
            </w:tcBorders>
            <w:vAlign w:val="center"/>
          </w:tcPr>
          <w:p w14:paraId="310976C5"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Ні</w:t>
            </w:r>
          </w:p>
        </w:tc>
        <w:tc>
          <w:tcPr>
            <w:tcW w:w="1900" w:type="dxa"/>
            <w:tcBorders>
              <w:top w:val="single" w:sz="6" w:space="0" w:color="auto"/>
              <w:left w:val="single" w:sz="6" w:space="0" w:color="auto"/>
              <w:bottom w:val="single" w:sz="6" w:space="0" w:color="auto"/>
            </w:tcBorders>
            <w:vAlign w:val="center"/>
          </w:tcPr>
          <w:p w14:paraId="531E3E14"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+380633176510</w:t>
            </w:r>
          </w:p>
          <w:p w14:paraId="4A406F4A" w14:textId="77777777" w:rsidR="005E6C62" w:rsidRPr="004229C1" w:rsidRDefault="005E6C62" w:rsidP="00FA3E0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daria.fedorova@pravex.ua</w:t>
            </w:r>
          </w:p>
        </w:tc>
      </w:tr>
    </w:tbl>
    <w:p w14:paraId="2410D24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0"/>
          <w:szCs w:val="20"/>
          <w:lang w:val="uk-UA"/>
        </w:rPr>
        <w:sectPr w:rsidR="007469BF" w:rsidRPr="004229C1">
          <w:pgSz w:w="16837" w:h="11905" w:orient="landscape"/>
          <w:pgMar w:top="570" w:right="720" w:bottom="570" w:left="720" w:header="720" w:footer="720" w:gutter="0"/>
          <w:cols w:space="720"/>
          <w:noEndnote/>
        </w:sectPr>
      </w:pPr>
    </w:p>
    <w:p w14:paraId="345F4E2D"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Організаційна структура</w:t>
      </w:r>
    </w:p>
    <w:p w14:paraId="036C644F" w14:textId="1225BE54" w:rsidR="007469BF" w:rsidRPr="004229C1" w:rsidRDefault="00291DCE" w:rsidP="005E6C62">
      <w:pPr>
        <w:widowControl w:val="0"/>
        <w:autoSpaceDE w:val="0"/>
        <w:autoSpaceDN w:val="0"/>
        <w:adjustRightInd w:val="0"/>
        <w:spacing w:after="0" w:line="240" w:lineRule="auto"/>
        <w:jc w:val="both"/>
        <w:rPr>
          <w:rFonts w:ascii="Times New Roman" w:hAnsi="Times New Roman" w:cs="Times New Roman"/>
          <w:lang w:val="uk-UA"/>
        </w:rPr>
      </w:pPr>
      <w:r w:rsidRPr="004229C1">
        <w:rPr>
          <w:rFonts w:ascii="Times New Roman" w:hAnsi="Times New Roman" w:cs="Times New Roman"/>
          <w:kern w:val="0"/>
          <w:lang w:val="uk-UA"/>
        </w:rPr>
        <w:t>Організаційна структура Банку у вигляді схематичного зображення станом на 31.12.202</w:t>
      </w:r>
      <w:r w:rsidR="005E6C62"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w:t>
      </w:r>
      <w:r w:rsidR="00A77DAE" w:rsidRPr="004229C1">
        <w:rPr>
          <w:rFonts w:ascii="Times New Roman" w:hAnsi="Times New Roman" w:cs="Times New Roman"/>
          <w:kern w:val="0"/>
          <w:lang w:val="uk-UA"/>
        </w:rPr>
        <w:t xml:space="preserve">року </w:t>
      </w:r>
      <w:r w:rsidRPr="004229C1">
        <w:rPr>
          <w:rFonts w:ascii="Times New Roman" w:hAnsi="Times New Roman" w:cs="Times New Roman"/>
          <w:kern w:val="0"/>
          <w:lang w:val="uk-UA"/>
        </w:rPr>
        <w:t xml:space="preserve">розміщена на веб-сайті Банку за посиланням </w:t>
      </w:r>
      <w:hyperlink r:id="rId11" w:history="1">
        <w:r w:rsidR="005E6C62" w:rsidRPr="004229C1">
          <w:rPr>
            <w:rStyle w:val="Hyperlink"/>
            <w:rFonts w:ascii="Times New Roman" w:hAnsi="Times New Roman" w:cs="Times New Roman"/>
            <w:lang w:val="uk-UA"/>
          </w:rPr>
          <w:t>https://www.pravex.com.ua/storage/files/organizacijna-strukutura-banku-stanom-na-20.pdf</w:t>
        </w:r>
      </w:hyperlink>
      <w:r w:rsidR="005E6C62" w:rsidRPr="004229C1">
        <w:rPr>
          <w:rFonts w:ascii="Times New Roman" w:hAnsi="Times New Roman" w:cs="Times New Roman"/>
          <w:lang w:val="uk-UA"/>
        </w:rPr>
        <w:t xml:space="preserve"> </w:t>
      </w:r>
    </w:p>
    <w:p w14:paraId="15511BBB" w14:textId="77777777" w:rsidR="005E6C62" w:rsidRPr="004229C1" w:rsidRDefault="005E6C62" w:rsidP="005E6C62">
      <w:pPr>
        <w:widowControl w:val="0"/>
        <w:autoSpaceDE w:val="0"/>
        <w:autoSpaceDN w:val="0"/>
        <w:adjustRightInd w:val="0"/>
        <w:spacing w:after="0" w:line="240" w:lineRule="auto"/>
        <w:jc w:val="both"/>
        <w:rPr>
          <w:rFonts w:ascii="Times New Roman" w:hAnsi="Times New Roman" w:cs="Times New Roman"/>
          <w:kern w:val="0"/>
          <w:lang w:val="uk-UA"/>
        </w:rPr>
      </w:pPr>
    </w:p>
    <w:p w14:paraId="7050D914" w14:textId="77777777" w:rsidR="007469BF" w:rsidRPr="004229C1" w:rsidRDefault="000B08A7" w:rsidP="00394FCC">
      <w:pPr>
        <w:pStyle w:val="Heading2"/>
        <w:rPr>
          <w:rFonts w:cs="Times New Roman"/>
          <w:lang w:val="uk-UA"/>
        </w:rPr>
      </w:pPr>
      <w:bookmarkStart w:id="3" w:name="_Toc200057385"/>
      <w:r w:rsidRPr="004229C1">
        <w:rPr>
          <w:rFonts w:cs="Times New Roman"/>
          <w:lang w:val="uk-UA"/>
        </w:rPr>
        <w:t>3. Структура власності</w:t>
      </w:r>
      <w:bookmarkEnd w:id="3"/>
    </w:p>
    <w:p w14:paraId="68A4BED0" w14:textId="77FF21AE" w:rsidR="007469BF" w:rsidRPr="004229C1" w:rsidRDefault="00291DCE">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Структура власності Банку станом на 01.01.202</w:t>
      </w:r>
      <w:r w:rsidR="005E6C62" w:rsidRPr="004229C1">
        <w:rPr>
          <w:rFonts w:ascii="Times New Roman" w:hAnsi="Times New Roman" w:cs="Times New Roman"/>
          <w:kern w:val="0"/>
          <w:lang w:val="uk-UA"/>
        </w:rPr>
        <w:t>5</w:t>
      </w:r>
      <w:r w:rsidRPr="004229C1">
        <w:rPr>
          <w:rFonts w:ascii="Times New Roman" w:hAnsi="Times New Roman" w:cs="Times New Roman"/>
          <w:kern w:val="0"/>
          <w:lang w:val="uk-UA"/>
        </w:rPr>
        <w:t xml:space="preserve"> </w:t>
      </w:r>
      <w:r w:rsidR="00A77DAE" w:rsidRPr="004229C1">
        <w:rPr>
          <w:rFonts w:ascii="Times New Roman" w:hAnsi="Times New Roman" w:cs="Times New Roman"/>
          <w:kern w:val="0"/>
          <w:lang w:val="uk-UA"/>
        </w:rPr>
        <w:t xml:space="preserve">року </w:t>
      </w:r>
      <w:r w:rsidRPr="004229C1">
        <w:rPr>
          <w:rFonts w:ascii="Times New Roman" w:hAnsi="Times New Roman" w:cs="Times New Roman"/>
          <w:kern w:val="0"/>
          <w:lang w:val="uk-UA"/>
        </w:rPr>
        <w:t xml:space="preserve">розміщена на веб-сайті Банку за посиланням </w:t>
      </w:r>
      <w:hyperlink r:id="rId12" w:history="1">
        <w:r w:rsidR="005E6C62" w:rsidRPr="004229C1">
          <w:rPr>
            <w:rStyle w:val="Hyperlink"/>
            <w:rFonts w:ascii="Times New Roman" w:hAnsi="Times New Roman" w:cs="Times New Roman"/>
            <w:lang w:val="uk-UA"/>
          </w:rPr>
          <w:t>https://www.pravex.com.ua/storage/files/shematichnezobrazhennyastrukturivlasnosti.pdf</w:t>
        </w:r>
      </w:hyperlink>
      <w:r w:rsidR="005E6C62" w:rsidRPr="004229C1">
        <w:rPr>
          <w:rFonts w:ascii="Times New Roman" w:hAnsi="Times New Roman" w:cs="Times New Roman"/>
          <w:lang w:val="uk-UA"/>
        </w:rPr>
        <w:t xml:space="preserve"> </w:t>
      </w:r>
    </w:p>
    <w:p w14:paraId="133916CB"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102C2C6F" w14:textId="77777777" w:rsidR="007469BF" w:rsidRPr="004229C1" w:rsidRDefault="000B08A7" w:rsidP="00394FCC">
      <w:pPr>
        <w:pStyle w:val="Heading2"/>
        <w:rPr>
          <w:rFonts w:cs="Times New Roman"/>
          <w:lang w:val="uk-UA"/>
        </w:rPr>
      </w:pPr>
      <w:bookmarkStart w:id="4" w:name="_Toc200057386"/>
      <w:r w:rsidRPr="004229C1">
        <w:rPr>
          <w:rFonts w:cs="Times New Roman"/>
          <w:lang w:val="uk-UA"/>
        </w:rPr>
        <w:t>4. Опис господарської та фінансової діяльності</w:t>
      </w:r>
      <w:bookmarkEnd w:id="4"/>
    </w:p>
    <w:p w14:paraId="669993AB" w14:textId="77777777"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 xml:space="preserve">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w:t>
      </w:r>
      <w:proofErr w:type="spellStart"/>
      <w:r w:rsidRPr="004229C1">
        <w:rPr>
          <w:rFonts w:ascii="Times New Roman" w:hAnsi="Times New Roman" w:cs="Times New Roman"/>
          <w:b/>
          <w:bCs/>
          <w:kern w:val="0"/>
          <w:lang w:val="uk-UA"/>
        </w:rPr>
        <w:t>вебсайт</w:t>
      </w:r>
      <w:proofErr w:type="spellEnd"/>
      <w:r w:rsidRPr="004229C1">
        <w:rPr>
          <w:rFonts w:ascii="Times New Roman" w:hAnsi="Times New Roman" w:cs="Times New Roman"/>
          <w:b/>
          <w:bCs/>
          <w:kern w:val="0"/>
          <w:lang w:val="uk-UA"/>
        </w:rPr>
        <w:t xml:space="preserve"> об’єднання. </w:t>
      </w:r>
    </w:p>
    <w:p w14:paraId="76FBC76E" w14:textId="77777777" w:rsidR="00A77DAE" w:rsidRPr="004229C1" w:rsidRDefault="00A77DAE" w:rsidP="00A77DAE">
      <w:pPr>
        <w:widowControl w:val="0"/>
        <w:autoSpaceDE w:val="0"/>
        <w:autoSpaceDN w:val="0"/>
        <w:adjustRightInd w:val="0"/>
        <w:spacing w:after="0" w:line="240" w:lineRule="auto"/>
        <w:jc w:val="both"/>
        <w:rPr>
          <w:rFonts w:ascii="Times New Roman" w:hAnsi="Times New Roman" w:cs="Times New Roman"/>
          <w:kern w:val="0"/>
          <w:lang w:val="uk-UA"/>
        </w:rPr>
      </w:pPr>
    </w:p>
    <w:p w14:paraId="282151D5" w14:textId="77777777" w:rsidR="007A2141" w:rsidRPr="004229C1" w:rsidRDefault="00F53F0E" w:rsidP="007A214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Членство </w:t>
      </w:r>
      <w:r w:rsidR="007A2141" w:rsidRPr="004229C1">
        <w:rPr>
          <w:rFonts w:ascii="Times New Roman" w:hAnsi="Times New Roman" w:cs="Times New Roman"/>
          <w:kern w:val="0"/>
          <w:lang w:val="uk-UA"/>
        </w:rPr>
        <w:t>Банку</w:t>
      </w:r>
    </w:p>
    <w:p w14:paraId="0936698B" w14:textId="1D97171E" w:rsidR="00F53F0E" w:rsidRPr="004229C1" w:rsidRDefault="00F53F0E" w:rsidP="007A214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Незалежна Асоціація Банків України</w:t>
      </w:r>
      <w:r w:rsidR="007A2141" w:rsidRPr="004229C1">
        <w:rPr>
          <w:rFonts w:ascii="Times New Roman" w:hAnsi="Times New Roman" w:cs="Times New Roman"/>
          <w:kern w:val="0"/>
          <w:lang w:val="uk-UA"/>
        </w:rPr>
        <w:t>:</w:t>
      </w:r>
      <w:r w:rsidRPr="004229C1">
        <w:rPr>
          <w:rFonts w:ascii="Times New Roman" w:hAnsi="Times New Roman" w:cs="Times New Roman"/>
          <w:kern w:val="0"/>
          <w:lang w:val="uk-UA"/>
        </w:rPr>
        <w:t xml:space="preserve"> </w:t>
      </w:r>
      <w:r w:rsidR="007A2141" w:rsidRPr="004229C1">
        <w:rPr>
          <w:rFonts w:ascii="Times New Roman" w:hAnsi="Times New Roman" w:cs="Times New Roman"/>
          <w:kern w:val="0"/>
          <w:lang w:val="uk-UA"/>
        </w:rPr>
        <w:t xml:space="preserve">03150, м. Київ, вул. Велика </w:t>
      </w:r>
      <w:proofErr w:type="spellStart"/>
      <w:r w:rsidR="007A2141" w:rsidRPr="004229C1">
        <w:rPr>
          <w:rFonts w:ascii="Times New Roman" w:hAnsi="Times New Roman" w:cs="Times New Roman"/>
          <w:kern w:val="0"/>
          <w:lang w:val="uk-UA"/>
        </w:rPr>
        <w:t>Василькiвська</w:t>
      </w:r>
      <w:proofErr w:type="spellEnd"/>
      <w:r w:rsidR="007A2141" w:rsidRPr="004229C1">
        <w:rPr>
          <w:rFonts w:ascii="Times New Roman" w:hAnsi="Times New Roman" w:cs="Times New Roman"/>
          <w:kern w:val="0"/>
          <w:lang w:val="uk-UA"/>
        </w:rPr>
        <w:t xml:space="preserve">, 72, </w:t>
      </w:r>
      <w:proofErr w:type="spellStart"/>
      <w:r w:rsidR="007A2141" w:rsidRPr="004229C1">
        <w:rPr>
          <w:rFonts w:ascii="Times New Roman" w:hAnsi="Times New Roman" w:cs="Times New Roman"/>
          <w:kern w:val="0"/>
          <w:lang w:val="uk-UA"/>
        </w:rPr>
        <w:t>офiс</w:t>
      </w:r>
      <w:proofErr w:type="spellEnd"/>
      <w:r w:rsidR="007A2141" w:rsidRPr="004229C1">
        <w:rPr>
          <w:rFonts w:ascii="Times New Roman" w:hAnsi="Times New Roman" w:cs="Times New Roman"/>
          <w:kern w:val="0"/>
          <w:lang w:val="uk-UA"/>
        </w:rPr>
        <w:t xml:space="preserve"> 6</w:t>
      </w:r>
      <w:r w:rsidR="003257FC" w:rsidRPr="004229C1">
        <w:rPr>
          <w:rFonts w:ascii="Times New Roman" w:hAnsi="Times New Roman" w:cs="Times New Roman"/>
          <w:kern w:val="0"/>
          <w:lang w:val="uk-UA"/>
        </w:rPr>
        <w:t>;</w:t>
      </w:r>
      <w:r w:rsidR="007A2141" w:rsidRPr="004229C1">
        <w:rPr>
          <w:rFonts w:ascii="Times New Roman" w:hAnsi="Times New Roman" w:cs="Times New Roman"/>
          <w:kern w:val="0"/>
          <w:lang w:val="uk-UA"/>
        </w:rPr>
        <w:t xml:space="preserve"> </w:t>
      </w:r>
      <w:r w:rsidR="003257FC" w:rsidRPr="004229C1">
        <w:rPr>
          <w:rFonts w:ascii="Times New Roman" w:hAnsi="Times New Roman" w:cs="Times New Roman"/>
          <w:kern w:val="0"/>
          <w:lang w:val="uk-UA"/>
        </w:rPr>
        <w:t>НАБУ</w:t>
      </w:r>
      <w:r w:rsidR="007A2141" w:rsidRPr="004229C1">
        <w:rPr>
          <w:rFonts w:ascii="Times New Roman" w:hAnsi="Times New Roman" w:cs="Times New Roman"/>
          <w:kern w:val="0"/>
          <w:lang w:val="uk-UA"/>
        </w:rPr>
        <w:t xml:space="preserve"> є недержавним </w:t>
      </w:r>
      <w:proofErr w:type="spellStart"/>
      <w:r w:rsidR="007A2141" w:rsidRPr="004229C1">
        <w:rPr>
          <w:rFonts w:ascii="Times New Roman" w:hAnsi="Times New Roman" w:cs="Times New Roman"/>
          <w:kern w:val="0"/>
          <w:lang w:val="uk-UA"/>
        </w:rPr>
        <w:t>непiдприємницьким</w:t>
      </w:r>
      <w:proofErr w:type="spellEnd"/>
      <w:r w:rsidR="007A2141" w:rsidRPr="004229C1">
        <w:rPr>
          <w:rFonts w:ascii="Times New Roman" w:hAnsi="Times New Roman" w:cs="Times New Roman"/>
          <w:kern w:val="0"/>
          <w:lang w:val="uk-UA"/>
        </w:rPr>
        <w:t xml:space="preserve"> неприбутковим </w:t>
      </w:r>
      <w:proofErr w:type="spellStart"/>
      <w:r w:rsidR="007A2141" w:rsidRPr="004229C1">
        <w:rPr>
          <w:rFonts w:ascii="Times New Roman" w:hAnsi="Times New Roman" w:cs="Times New Roman"/>
          <w:kern w:val="0"/>
          <w:lang w:val="uk-UA"/>
        </w:rPr>
        <w:t>договiрним</w:t>
      </w:r>
      <w:proofErr w:type="spellEnd"/>
      <w:r w:rsidR="007A2141" w:rsidRPr="004229C1">
        <w:rPr>
          <w:rFonts w:ascii="Times New Roman" w:hAnsi="Times New Roman" w:cs="Times New Roman"/>
          <w:kern w:val="0"/>
          <w:lang w:val="uk-UA"/>
        </w:rPr>
        <w:t xml:space="preserve"> об'єднанням </w:t>
      </w:r>
      <w:proofErr w:type="spellStart"/>
      <w:r w:rsidR="007A2141" w:rsidRPr="004229C1">
        <w:rPr>
          <w:rFonts w:ascii="Times New Roman" w:hAnsi="Times New Roman" w:cs="Times New Roman"/>
          <w:kern w:val="0"/>
          <w:lang w:val="uk-UA"/>
        </w:rPr>
        <w:t>самостiйних</w:t>
      </w:r>
      <w:proofErr w:type="spellEnd"/>
      <w:r w:rsidR="007A2141" w:rsidRPr="004229C1">
        <w:rPr>
          <w:rFonts w:ascii="Times New Roman" w:hAnsi="Times New Roman" w:cs="Times New Roman"/>
          <w:kern w:val="0"/>
          <w:lang w:val="uk-UA"/>
        </w:rPr>
        <w:t xml:space="preserve"> юридичних </w:t>
      </w:r>
      <w:proofErr w:type="spellStart"/>
      <w:r w:rsidR="007A2141" w:rsidRPr="004229C1">
        <w:rPr>
          <w:rFonts w:ascii="Times New Roman" w:hAnsi="Times New Roman" w:cs="Times New Roman"/>
          <w:kern w:val="0"/>
          <w:lang w:val="uk-UA"/>
        </w:rPr>
        <w:t>осiб</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пiдприємств</w:t>
      </w:r>
      <w:proofErr w:type="spellEnd"/>
      <w:r w:rsidR="007A2141" w:rsidRPr="004229C1">
        <w:rPr>
          <w:rFonts w:ascii="Times New Roman" w:hAnsi="Times New Roman" w:cs="Times New Roman"/>
          <w:kern w:val="0"/>
          <w:lang w:val="uk-UA"/>
        </w:rPr>
        <w:t xml:space="preserve">) - </w:t>
      </w:r>
      <w:proofErr w:type="spellStart"/>
      <w:r w:rsidR="007A2141" w:rsidRPr="004229C1">
        <w:rPr>
          <w:rFonts w:ascii="Times New Roman" w:hAnsi="Times New Roman" w:cs="Times New Roman"/>
          <w:kern w:val="0"/>
          <w:lang w:val="uk-UA"/>
        </w:rPr>
        <w:t>банкiв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дiяльнiстю</w:t>
      </w:r>
      <w:proofErr w:type="spellEnd"/>
      <w:r w:rsidR="007A2141" w:rsidRPr="004229C1">
        <w:rPr>
          <w:rFonts w:ascii="Times New Roman" w:hAnsi="Times New Roman" w:cs="Times New Roman"/>
          <w:kern w:val="0"/>
          <w:lang w:val="uk-UA"/>
        </w:rPr>
        <w:t xml:space="preserve"> якої є захист прав та законних </w:t>
      </w:r>
      <w:proofErr w:type="spellStart"/>
      <w:r w:rsidR="007A2141" w:rsidRPr="004229C1">
        <w:rPr>
          <w:rFonts w:ascii="Times New Roman" w:hAnsi="Times New Roman" w:cs="Times New Roman"/>
          <w:kern w:val="0"/>
          <w:lang w:val="uk-UA"/>
        </w:rPr>
        <w:t>iнтересiв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членiв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Асоцiацiї</w:t>
      </w:r>
      <w:proofErr w:type="spellEnd"/>
      <w:r w:rsidR="007A2141" w:rsidRPr="004229C1">
        <w:rPr>
          <w:rFonts w:ascii="Times New Roman" w:hAnsi="Times New Roman" w:cs="Times New Roman"/>
          <w:kern w:val="0"/>
          <w:lang w:val="uk-UA"/>
        </w:rPr>
        <w:t xml:space="preserve">, представництво </w:t>
      </w:r>
      <w:proofErr w:type="spellStart"/>
      <w:r w:rsidR="007A2141" w:rsidRPr="004229C1">
        <w:rPr>
          <w:rFonts w:ascii="Times New Roman" w:hAnsi="Times New Roman" w:cs="Times New Roman"/>
          <w:kern w:val="0"/>
          <w:lang w:val="uk-UA"/>
        </w:rPr>
        <w:t>iнтересiв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членiв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Асоцiацiї</w:t>
      </w:r>
      <w:proofErr w:type="spellEnd"/>
      <w:r w:rsidR="007A2141" w:rsidRPr="004229C1">
        <w:rPr>
          <w:rFonts w:ascii="Times New Roman" w:hAnsi="Times New Roman" w:cs="Times New Roman"/>
          <w:kern w:val="0"/>
          <w:lang w:val="uk-UA"/>
        </w:rPr>
        <w:t xml:space="preserve"> у </w:t>
      </w:r>
      <w:proofErr w:type="spellStart"/>
      <w:r w:rsidR="007A2141" w:rsidRPr="004229C1">
        <w:rPr>
          <w:rFonts w:ascii="Times New Roman" w:hAnsi="Times New Roman" w:cs="Times New Roman"/>
          <w:kern w:val="0"/>
          <w:lang w:val="uk-UA"/>
        </w:rPr>
        <w:t>вiдносинах</w:t>
      </w:r>
      <w:proofErr w:type="spellEnd"/>
      <w:r w:rsidR="007A2141" w:rsidRPr="004229C1">
        <w:rPr>
          <w:rFonts w:ascii="Times New Roman" w:hAnsi="Times New Roman" w:cs="Times New Roman"/>
          <w:kern w:val="0"/>
          <w:lang w:val="uk-UA"/>
        </w:rPr>
        <w:t xml:space="preserve"> з державними органами, установами та </w:t>
      </w:r>
      <w:proofErr w:type="spellStart"/>
      <w:r w:rsidR="007A2141" w:rsidRPr="004229C1">
        <w:rPr>
          <w:rFonts w:ascii="Times New Roman" w:hAnsi="Times New Roman" w:cs="Times New Roman"/>
          <w:kern w:val="0"/>
          <w:lang w:val="uk-UA"/>
        </w:rPr>
        <w:t>iншими</w:t>
      </w:r>
      <w:proofErr w:type="spellEnd"/>
      <w:r w:rsidR="007A2141" w:rsidRPr="004229C1">
        <w:rPr>
          <w:rFonts w:ascii="Times New Roman" w:hAnsi="Times New Roman" w:cs="Times New Roman"/>
          <w:kern w:val="0"/>
          <w:lang w:val="uk-UA"/>
        </w:rPr>
        <w:t xml:space="preserve"> особами, сприяння створенню в </w:t>
      </w:r>
      <w:proofErr w:type="spellStart"/>
      <w:r w:rsidR="007A2141" w:rsidRPr="004229C1">
        <w:rPr>
          <w:rFonts w:ascii="Times New Roman" w:hAnsi="Times New Roman" w:cs="Times New Roman"/>
          <w:kern w:val="0"/>
          <w:lang w:val="uk-UA"/>
        </w:rPr>
        <w:t>Українi</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дiєвої</w:t>
      </w:r>
      <w:proofErr w:type="spellEnd"/>
      <w:r w:rsidR="007A2141" w:rsidRPr="004229C1">
        <w:rPr>
          <w:rFonts w:ascii="Times New Roman" w:hAnsi="Times New Roman" w:cs="Times New Roman"/>
          <w:kern w:val="0"/>
          <w:lang w:val="uk-UA"/>
        </w:rPr>
        <w:t xml:space="preserve"> нормативної бази для ефективного </w:t>
      </w:r>
      <w:proofErr w:type="spellStart"/>
      <w:r w:rsidR="007A2141" w:rsidRPr="004229C1">
        <w:rPr>
          <w:rFonts w:ascii="Times New Roman" w:hAnsi="Times New Roman" w:cs="Times New Roman"/>
          <w:kern w:val="0"/>
          <w:lang w:val="uk-UA"/>
        </w:rPr>
        <w:t>функцiонування</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банкiвської</w:t>
      </w:r>
      <w:proofErr w:type="spellEnd"/>
      <w:r w:rsidR="007A2141" w:rsidRPr="004229C1">
        <w:rPr>
          <w:rFonts w:ascii="Times New Roman" w:hAnsi="Times New Roman" w:cs="Times New Roman"/>
          <w:kern w:val="0"/>
          <w:lang w:val="uk-UA"/>
        </w:rPr>
        <w:t xml:space="preserve"> системи, участь в </w:t>
      </w:r>
      <w:proofErr w:type="spellStart"/>
      <w:r w:rsidR="007A2141" w:rsidRPr="004229C1">
        <w:rPr>
          <w:rFonts w:ascii="Times New Roman" w:hAnsi="Times New Roman" w:cs="Times New Roman"/>
          <w:kern w:val="0"/>
          <w:lang w:val="uk-UA"/>
        </w:rPr>
        <w:t>розробцi</w:t>
      </w:r>
      <w:proofErr w:type="spellEnd"/>
      <w:r w:rsidR="007A2141" w:rsidRPr="004229C1">
        <w:rPr>
          <w:rFonts w:ascii="Times New Roman" w:hAnsi="Times New Roman" w:cs="Times New Roman"/>
          <w:kern w:val="0"/>
          <w:lang w:val="uk-UA"/>
        </w:rPr>
        <w:t xml:space="preserve"> державних програм розвитку </w:t>
      </w:r>
      <w:proofErr w:type="spellStart"/>
      <w:r w:rsidR="007A2141" w:rsidRPr="004229C1">
        <w:rPr>
          <w:rFonts w:ascii="Times New Roman" w:hAnsi="Times New Roman" w:cs="Times New Roman"/>
          <w:kern w:val="0"/>
          <w:lang w:val="uk-UA"/>
        </w:rPr>
        <w:t>банкiвської</w:t>
      </w:r>
      <w:proofErr w:type="spellEnd"/>
      <w:r w:rsidR="007A2141" w:rsidRPr="004229C1">
        <w:rPr>
          <w:rFonts w:ascii="Times New Roman" w:hAnsi="Times New Roman" w:cs="Times New Roman"/>
          <w:kern w:val="0"/>
          <w:lang w:val="uk-UA"/>
        </w:rPr>
        <w:t xml:space="preserve"> системи;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 </w:t>
      </w:r>
      <w:hyperlink r:id="rId13" w:history="1">
        <w:r w:rsidRPr="004229C1">
          <w:rPr>
            <w:rStyle w:val="Hyperlink"/>
            <w:rFonts w:ascii="Times New Roman" w:hAnsi="Times New Roman" w:cs="Times New Roman"/>
            <w:kern w:val="0"/>
            <w:lang w:val="uk-UA"/>
          </w:rPr>
          <w:t>https://nabu.ua/</w:t>
        </w:r>
      </w:hyperlink>
      <w:r w:rsidRPr="004229C1">
        <w:rPr>
          <w:rFonts w:ascii="Times New Roman" w:hAnsi="Times New Roman" w:cs="Times New Roman"/>
          <w:kern w:val="0"/>
          <w:lang w:val="uk-UA"/>
        </w:rPr>
        <w:t xml:space="preserve"> </w:t>
      </w:r>
    </w:p>
    <w:p w14:paraId="077BA4E2" w14:textId="58A8C766" w:rsidR="00F53F0E" w:rsidRPr="004229C1" w:rsidRDefault="00F53F0E" w:rsidP="007A214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 Американська торговельна палата в Україні: </w:t>
      </w:r>
      <w:r w:rsidR="007A2141" w:rsidRPr="004229C1">
        <w:rPr>
          <w:rFonts w:ascii="Times New Roman" w:hAnsi="Times New Roman" w:cs="Times New Roman"/>
          <w:kern w:val="0"/>
          <w:lang w:val="uk-UA"/>
        </w:rPr>
        <w:t xml:space="preserve">03680, </w:t>
      </w:r>
      <w:proofErr w:type="spellStart"/>
      <w:r w:rsidR="007A2141" w:rsidRPr="004229C1">
        <w:rPr>
          <w:rFonts w:ascii="Times New Roman" w:hAnsi="Times New Roman" w:cs="Times New Roman"/>
          <w:kern w:val="0"/>
          <w:lang w:val="uk-UA"/>
        </w:rPr>
        <w:t>м.Київ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вул.Амосова</w:t>
      </w:r>
      <w:proofErr w:type="spellEnd"/>
      <w:r w:rsidR="007A2141" w:rsidRPr="004229C1">
        <w:rPr>
          <w:rFonts w:ascii="Times New Roman" w:hAnsi="Times New Roman" w:cs="Times New Roman"/>
          <w:kern w:val="0"/>
          <w:lang w:val="uk-UA"/>
        </w:rPr>
        <w:t>, 12; Американськ</w:t>
      </w:r>
      <w:r w:rsidR="003257FC" w:rsidRPr="004229C1">
        <w:rPr>
          <w:rFonts w:ascii="Times New Roman" w:hAnsi="Times New Roman" w:cs="Times New Roman"/>
          <w:kern w:val="0"/>
          <w:lang w:val="uk-UA"/>
        </w:rPr>
        <w:t>а</w:t>
      </w:r>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торгiвельн</w:t>
      </w:r>
      <w:r w:rsidR="003257FC" w:rsidRPr="004229C1">
        <w:rPr>
          <w:rFonts w:ascii="Times New Roman" w:hAnsi="Times New Roman" w:cs="Times New Roman"/>
          <w:kern w:val="0"/>
          <w:lang w:val="uk-UA"/>
        </w:rPr>
        <w:t>а</w:t>
      </w:r>
      <w:proofErr w:type="spellEnd"/>
      <w:r w:rsidR="007A2141" w:rsidRPr="004229C1">
        <w:rPr>
          <w:rFonts w:ascii="Times New Roman" w:hAnsi="Times New Roman" w:cs="Times New Roman"/>
          <w:kern w:val="0"/>
          <w:lang w:val="uk-UA"/>
        </w:rPr>
        <w:t xml:space="preserve"> палат</w:t>
      </w:r>
      <w:r w:rsidR="003257FC" w:rsidRPr="004229C1">
        <w:rPr>
          <w:rFonts w:ascii="Times New Roman" w:hAnsi="Times New Roman" w:cs="Times New Roman"/>
          <w:kern w:val="0"/>
          <w:lang w:val="uk-UA"/>
        </w:rPr>
        <w:t>а</w:t>
      </w:r>
      <w:r w:rsidR="007A2141" w:rsidRPr="004229C1">
        <w:rPr>
          <w:rFonts w:ascii="Times New Roman" w:hAnsi="Times New Roman" w:cs="Times New Roman"/>
          <w:kern w:val="0"/>
          <w:lang w:val="uk-UA"/>
        </w:rPr>
        <w:t xml:space="preserve"> в </w:t>
      </w:r>
      <w:proofErr w:type="spellStart"/>
      <w:r w:rsidR="007A2141" w:rsidRPr="004229C1">
        <w:rPr>
          <w:rFonts w:ascii="Times New Roman" w:hAnsi="Times New Roman" w:cs="Times New Roman"/>
          <w:kern w:val="0"/>
          <w:lang w:val="uk-UA"/>
        </w:rPr>
        <w:t>Українi</w:t>
      </w:r>
      <w:proofErr w:type="spellEnd"/>
      <w:r w:rsidR="007A2141" w:rsidRPr="004229C1">
        <w:rPr>
          <w:rFonts w:ascii="Times New Roman" w:hAnsi="Times New Roman" w:cs="Times New Roman"/>
          <w:kern w:val="0"/>
          <w:lang w:val="uk-UA"/>
        </w:rPr>
        <w:t xml:space="preserve"> є неприбутковою неурядовою </w:t>
      </w:r>
      <w:proofErr w:type="spellStart"/>
      <w:r w:rsidR="007A2141" w:rsidRPr="004229C1">
        <w:rPr>
          <w:rFonts w:ascii="Times New Roman" w:hAnsi="Times New Roman" w:cs="Times New Roman"/>
          <w:kern w:val="0"/>
          <w:lang w:val="uk-UA"/>
        </w:rPr>
        <w:t>органiзацiєю</w:t>
      </w:r>
      <w:proofErr w:type="spellEnd"/>
      <w:r w:rsidR="007A2141" w:rsidRPr="004229C1">
        <w:rPr>
          <w:rFonts w:ascii="Times New Roman" w:hAnsi="Times New Roman" w:cs="Times New Roman"/>
          <w:kern w:val="0"/>
          <w:lang w:val="uk-UA"/>
        </w:rPr>
        <w:t xml:space="preserve">, що на </w:t>
      </w:r>
      <w:proofErr w:type="spellStart"/>
      <w:r w:rsidR="007A2141" w:rsidRPr="004229C1">
        <w:rPr>
          <w:rFonts w:ascii="Times New Roman" w:hAnsi="Times New Roman" w:cs="Times New Roman"/>
          <w:kern w:val="0"/>
          <w:lang w:val="uk-UA"/>
        </w:rPr>
        <w:t>добровiльних</w:t>
      </w:r>
      <w:proofErr w:type="spellEnd"/>
      <w:r w:rsidR="007A2141" w:rsidRPr="004229C1">
        <w:rPr>
          <w:rFonts w:ascii="Times New Roman" w:hAnsi="Times New Roman" w:cs="Times New Roman"/>
          <w:kern w:val="0"/>
          <w:lang w:val="uk-UA"/>
        </w:rPr>
        <w:t xml:space="preserve"> принципах об'єднує </w:t>
      </w:r>
      <w:proofErr w:type="spellStart"/>
      <w:r w:rsidR="007A2141" w:rsidRPr="004229C1">
        <w:rPr>
          <w:rFonts w:ascii="Times New Roman" w:hAnsi="Times New Roman" w:cs="Times New Roman"/>
          <w:kern w:val="0"/>
          <w:lang w:val="uk-UA"/>
        </w:rPr>
        <w:t>представникiв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бiзнесу</w:t>
      </w:r>
      <w:proofErr w:type="spellEnd"/>
      <w:r w:rsidR="007A2141" w:rsidRPr="004229C1">
        <w:rPr>
          <w:rFonts w:ascii="Times New Roman" w:hAnsi="Times New Roman" w:cs="Times New Roman"/>
          <w:kern w:val="0"/>
          <w:lang w:val="uk-UA"/>
        </w:rPr>
        <w:t xml:space="preserve">, є </w:t>
      </w:r>
      <w:proofErr w:type="spellStart"/>
      <w:r w:rsidR="007A2141" w:rsidRPr="004229C1">
        <w:rPr>
          <w:rFonts w:ascii="Times New Roman" w:hAnsi="Times New Roman" w:cs="Times New Roman"/>
          <w:kern w:val="0"/>
          <w:lang w:val="uk-UA"/>
        </w:rPr>
        <w:t>однiєю</w:t>
      </w:r>
      <w:proofErr w:type="spellEnd"/>
      <w:r w:rsidR="007A2141" w:rsidRPr="004229C1">
        <w:rPr>
          <w:rFonts w:ascii="Times New Roman" w:hAnsi="Times New Roman" w:cs="Times New Roman"/>
          <w:kern w:val="0"/>
          <w:lang w:val="uk-UA"/>
        </w:rPr>
        <w:t xml:space="preserve"> з впливових </w:t>
      </w:r>
      <w:proofErr w:type="spellStart"/>
      <w:r w:rsidR="007A2141" w:rsidRPr="004229C1">
        <w:rPr>
          <w:rFonts w:ascii="Times New Roman" w:hAnsi="Times New Roman" w:cs="Times New Roman"/>
          <w:kern w:val="0"/>
          <w:lang w:val="uk-UA"/>
        </w:rPr>
        <w:t>лобiстських</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органiзацiй</w:t>
      </w:r>
      <w:proofErr w:type="spellEnd"/>
      <w:r w:rsidR="007A2141" w:rsidRPr="004229C1">
        <w:rPr>
          <w:rFonts w:ascii="Times New Roman" w:hAnsi="Times New Roman" w:cs="Times New Roman"/>
          <w:kern w:val="0"/>
          <w:lang w:val="uk-UA"/>
        </w:rPr>
        <w:t xml:space="preserve">, яка представляє своїх </w:t>
      </w:r>
      <w:proofErr w:type="spellStart"/>
      <w:r w:rsidR="007A2141" w:rsidRPr="004229C1">
        <w:rPr>
          <w:rFonts w:ascii="Times New Roman" w:hAnsi="Times New Roman" w:cs="Times New Roman"/>
          <w:kern w:val="0"/>
          <w:lang w:val="uk-UA"/>
        </w:rPr>
        <w:t>членiв</w:t>
      </w:r>
      <w:proofErr w:type="spellEnd"/>
      <w:r w:rsidR="007A2141" w:rsidRPr="004229C1">
        <w:rPr>
          <w:rFonts w:ascii="Times New Roman" w:hAnsi="Times New Roman" w:cs="Times New Roman"/>
          <w:kern w:val="0"/>
          <w:lang w:val="uk-UA"/>
        </w:rPr>
        <w:t xml:space="preserve"> у </w:t>
      </w:r>
      <w:proofErr w:type="spellStart"/>
      <w:r w:rsidR="007A2141" w:rsidRPr="004229C1">
        <w:rPr>
          <w:rFonts w:ascii="Times New Roman" w:hAnsi="Times New Roman" w:cs="Times New Roman"/>
          <w:kern w:val="0"/>
          <w:lang w:val="uk-UA"/>
        </w:rPr>
        <w:t>вiдносинах</w:t>
      </w:r>
      <w:proofErr w:type="spellEnd"/>
      <w:r w:rsidR="007A2141" w:rsidRPr="004229C1">
        <w:rPr>
          <w:rFonts w:ascii="Times New Roman" w:hAnsi="Times New Roman" w:cs="Times New Roman"/>
          <w:kern w:val="0"/>
          <w:lang w:val="uk-UA"/>
        </w:rPr>
        <w:t xml:space="preserve"> з державою;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 </w:t>
      </w:r>
      <w:hyperlink r:id="rId14" w:history="1">
        <w:r w:rsidRPr="004229C1">
          <w:rPr>
            <w:rStyle w:val="Hyperlink"/>
            <w:rFonts w:ascii="Times New Roman" w:hAnsi="Times New Roman" w:cs="Times New Roman"/>
            <w:kern w:val="0"/>
            <w:lang w:val="uk-UA"/>
          </w:rPr>
          <w:t>https://chamber.ua/ua/</w:t>
        </w:r>
      </w:hyperlink>
      <w:r w:rsidRPr="004229C1">
        <w:rPr>
          <w:rFonts w:ascii="Times New Roman" w:hAnsi="Times New Roman" w:cs="Times New Roman"/>
          <w:kern w:val="0"/>
          <w:lang w:val="uk-UA"/>
        </w:rPr>
        <w:t xml:space="preserve"> </w:t>
      </w:r>
    </w:p>
    <w:p w14:paraId="2D712C19" w14:textId="3D4E249F" w:rsidR="00F53F0E" w:rsidRPr="004229C1" w:rsidRDefault="00F53F0E" w:rsidP="007A214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Форум провідних міжнародних фінансових установ</w:t>
      </w:r>
      <w:r w:rsidR="007A2141" w:rsidRPr="004229C1">
        <w:rPr>
          <w:rFonts w:ascii="Times New Roman" w:hAnsi="Times New Roman" w:cs="Times New Roman"/>
          <w:kern w:val="0"/>
          <w:lang w:val="uk-UA"/>
        </w:rPr>
        <w:t xml:space="preserve">: 03680, </w:t>
      </w:r>
      <w:proofErr w:type="spellStart"/>
      <w:r w:rsidR="007A2141" w:rsidRPr="004229C1">
        <w:rPr>
          <w:rFonts w:ascii="Times New Roman" w:hAnsi="Times New Roman" w:cs="Times New Roman"/>
          <w:kern w:val="0"/>
          <w:lang w:val="uk-UA"/>
        </w:rPr>
        <w:t>м.Київ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вул.Амосова</w:t>
      </w:r>
      <w:proofErr w:type="spellEnd"/>
      <w:r w:rsidR="007A2141" w:rsidRPr="004229C1">
        <w:rPr>
          <w:rFonts w:ascii="Times New Roman" w:hAnsi="Times New Roman" w:cs="Times New Roman"/>
          <w:kern w:val="0"/>
          <w:lang w:val="uk-UA"/>
        </w:rPr>
        <w:t xml:space="preserve">, 12; </w:t>
      </w:r>
      <w:proofErr w:type="spellStart"/>
      <w:r w:rsidR="007A2141" w:rsidRPr="004229C1">
        <w:rPr>
          <w:rFonts w:ascii="Times New Roman" w:hAnsi="Times New Roman" w:cs="Times New Roman"/>
          <w:kern w:val="0"/>
          <w:lang w:val="uk-UA"/>
        </w:rPr>
        <w:t>мiсiя</w:t>
      </w:r>
      <w:proofErr w:type="spellEnd"/>
      <w:r w:rsidR="007A2141" w:rsidRPr="004229C1">
        <w:rPr>
          <w:rFonts w:ascii="Times New Roman" w:hAnsi="Times New Roman" w:cs="Times New Roman"/>
          <w:kern w:val="0"/>
          <w:lang w:val="uk-UA"/>
        </w:rPr>
        <w:t xml:space="preserve"> Форуму полягає у </w:t>
      </w:r>
      <w:proofErr w:type="spellStart"/>
      <w:r w:rsidR="007A2141" w:rsidRPr="004229C1">
        <w:rPr>
          <w:rFonts w:ascii="Times New Roman" w:hAnsi="Times New Roman" w:cs="Times New Roman"/>
          <w:kern w:val="0"/>
          <w:lang w:val="uk-UA"/>
        </w:rPr>
        <w:t>сприяннi</w:t>
      </w:r>
      <w:proofErr w:type="spellEnd"/>
      <w:r w:rsidR="007A2141" w:rsidRPr="004229C1">
        <w:rPr>
          <w:rFonts w:ascii="Times New Roman" w:hAnsi="Times New Roman" w:cs="Times New Roman"/>
          <w:kern w:val="0"/>
          <w:lang w:val="uk-UA"/>
        </w:rPr>
        <w:t xml:space="preserve"> та </w:t>
      </w:r>
      <w:proofErr w:type="spellStart"/>
      <w:r w:rsidR="007A2141" w:rsidRPr="004229C1">
        <w:rPr>
          <w:rFonts w:ascii="Times New Roman" w:hAnsi="Times New Roman" w:cs="Times New Roman"/>
          <w:kern w:val="0"/>
          <w:lang w:val="uk-UA"/>
        </w:rPr>
        <w:t>впровадженнi</w:t>
      </w:r>
      <w:proofErr w:type="spellEnd"/>
      <w:r w:rsidR="007A2141" w:rsidRPr="004229C1">
        <w:rPr>
          <w:rFonts w:ascii="Times New Roman" w:hAnsi="Times New Roman" w:cs="Times New Roman"/>
          <w:kern w:val="0"/>
          <w:lang w:val="uk-UA"/>
        </w:rPr>
        <w:t xml:space="preserve"> кращих </w:t>
      </w:r>
      <w:proofErr w:type="spellStart"/>
      <w:r w:rsidR="007A2141" w:rsidRPr="004229C1">
        <w:rPr>
          <w:rFonts w:ascii="Times New Roman" w:hAnsi="Times New Roman" w:cs="Times New Roman"/>
          <w:kern w:val="0"/>
          <w:lang w:val="uk-UA"/>
        </w:rPr>
        <w:t>мiжнародних</w:t>
      </w:r>
      <w:proofErr w:type="spellEnd"/>
      <w:r w:rsidR="007A2141" w:rsidRPr="004229C1">
        <w:rPr>
          <w:rFonts w:ascii="Times New Roman" w:hAnsi="Times New Roman" w:cs="Times New Roman"/>
          <w:kern w:val="0"/>
          <w:lang w:val="uk-UA"/>
        </w:rPr>
        <w:t xml:space="preserve"> практик </w:t>
      </w:r>
      <w:proofErr w:type="spellStart"/>
      <w:r w:rsidR="007A2141" w:rsidRPr="004229C1">
        <w:rPr>
          <w:rFonts w:ascii="Times New Roman" w:hAnsi="Times New Roman" w:cs="Times New Roman"/>
          <w:kern w:val="0"/>
          <w:lang w:val="uk-UA"/>
        </w:rPr>
        <w:t>управлiння</w:t>
      </w:r>
      <w:proofErr w:type="spellEnd"/>
      <w:r w:rsidR="007A2141" w:rsidRPr="004229C1">
        <w:rPr>
          <w:rFonts w:ascii="Times New Roman" w:hAnsi="Times New Roman" w:cs="Times New Roman"/>
          <w:kern w:val="0"/>
          <w:lang w:val="uk-UA"/>
        </w:rPr>
        <w:t xml:space="preserve"> та регулювання українського </w:t>
      </w:r>
      <w:proofErr w:type="spellStart"/>
      <w:r w:rsidR="007A2141" w:rsidRPr="004229C1">
        <w:rPr>
          <w:rFonts w:ascii="Times New Roman" w:hAnsi="Times New Roman" w:cs="Times New Roman"/>
          <w:kern w:val="0"/>
          <w:lang w:val="uk-UA"/>
        </w:rPr>
        <w:t>фiнансового</w:t>
      </w:r>
      <w:proofErr w:type="spellEnd"/>
      <w:r w:rsidR="007A2141" w:rsidRPr="004229C1">
        <w:rPr>
          <w:rFonts w:ascii="Times New Roman" w:hAnsi="Times New Roman" w:cs="Times New Roman"/>
          <w:kern w:val="0"/>
          <w:lang w:val="uk-UA"/>
        </w:rPr>
        <w:t xml:space="preserve"> ринку;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w:t>
      </w:r>
      <w:r w:rsidRPr="004229C1">
        <w:rPr>
          <w:rFonts w:ascii="Times New Roman" w:hAnsi="Times New Roman" w:cs="Times New Roman"/>
          <w:kern w:val="0"/>
          <w:lang w:val="uk-UA"/>
        </w:rPr>
        <w:t xml:space="preserve"> </w:t>
      </w:r>
      <w:hyperlink r:id="rId15" w:history="1">
        <w:r w:rsidRPr="004229C1">
          <w:rPr>
            <w:rStyle w:val="Hyperlink"/>
            <w:rFonts w:ascii="Times New Roman" w:hAnsi="Times New Roman" w:cs="Times New Roman"/>
            <w:kern w:val="0"/>
            <w:lang w:val="uk-UA"/>
          </w:rPr>
          <w:t>https://flifi.ua/ua/</w:t>
        </w:r>
      </w:hyperlink>
      <w:r w:rsidRPr="004229C1">
        <w:rPr>
          <w:rFonts w:ascii="Times New Roman" w:hAnsi="Times New Roman" w:cs="Times New Roman"/>
          <w:kern w:val="0"/>
          <w:lang w:val="uk-UA"/>
        </w:rPr>
        <w:t xml:space="preserve"> </w:t>
      </w:r>
    </w:p>
    <w:p w14:paraId="69B5852F" w14:textId="4B1440FD" w:rsidR="00F53F0E" w:rsidRPr="004229C1" w:rsidRDefault="00F53F0E" w:rsidP="007A214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Європейська Бізнес Асоціація</w:t>
      </w:r>
      <w:r w:rsidR="007A2141" w:rsidRPr="004229C1">
        <w:rPr>
          <w:rFonts w:ascii="Times New Roman" w:hAnsi="Times New Roman" w:cs="Times New Roman"/>
          <w:kern w:val="0"/>
          <w:lang w:val="uk-UA"/>
        </w:rPr>
        <w:t xml:space="preserve">: 04070, </w:t>
      </w:r>
      <w:proofErr w:type="spellStart"/>
      <w:r w:rsidR="007A2141" w:rsidRPr="004229C1">
        <w:rPr>
          <w:rFonts w:ascii="Times New Roman" w:hAnsi="Times New Roman" w:cs="Times New Roman"/>
          <w:kern w:val="0"/>
          <w:lang w:val="uk-UA"/>
        </w:rPr>
        <w:t>м.Київ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Андрiївський</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узвiз</w:t>
      </w:r>
      <w:proofErr w:type="spellEnd"/>
      <w:r w:rsidR="007A2141" w:rsidRPr="004229C1">
        <w:rPr>
          <w:rFonts w:ascii="Times New Roman" w:hAnsi="Times New Roman" w:cs="Times New Roman"/>
          <w:kern w:val="0"/>
          <w:lang w:val="uk-UA"/>
        </w:rPr>
        <w:t xml:space="preserve">, 1А, 1-й поверх; ЄБА створювалася як форум для обговорення та </w:t>
      </w:r>
      <w:proofErr w:type="spellStart"/>
      <w:r w:rsidR="007A2141" w:rsidRPr="004229C1">
        <w:rPr>
          <w:rFonts w:ascii="Times New Roman" w:hAnsi="Times New Roman" w:cs="Times New Roman"/>
          <w:kern w:val="0"/>
          <w:lang w:val="uk-UA"/>
        </w:rPr>
        <w:t>вирiшення</w:t>
      </w:r>
      <w:proofErr w:type="spellEnd"/>
      <w:r w:rsidR="007A2141" w:rsidRPr="004229C1">
        <w:rPr>
          <w:rFonts w:ascii="Times New Roman" w:hAnsi="Times New Roman" w:cs="Times New Roman"/>
          <w:kern w:val="0"/>
          <w:lang w:val="uk-UA"/>
        </w:rPr>
        <w:t xml:space="preserve"> проблем, з якими </w:t>
      </w:r>
      <w:proofErr w:type="spellStart"/>
      <w:r w:rsidR="007A2141" w:rsidRPr="004229C1">
        <w:rPr>
          <w:rFonts w:ascii="Times New Roman" w:hAnsi="Times New Roman" w:cs="Times New Roman"/>
          <w:kern w:val="0"/>
          <w:lang w:val="uk-UA"/>
        </w:rPr>
        <w:t>зустрiчаються</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бiзнесмени</w:t>
      </w:r>
      <w:proofErr w:type="spellEnd"/>
      <w:r w:rsidR="007A2141" w:rsidRPr="004229C1">
        <w:rPr>
          <w:rFonts w:ascii="Times New Roman" w:hAnsi="Times New Roman" w:cs="Times New Roman"/>
          <w:kern w:val="0"/>
          <w:lang w:val="uk-UA"/>
        </w:rPr>
        <w:t xml:space="preserve"> в </w:t>
      </w:r>
      <w:proofErr w:type="spellStart"/>
      <w:r w:rsidR="007A2141" w:rsidRPr="004229C1">
        <w:rPr>
          <w:rFonts w:ascii="Times New Roman" w:hAnsi="Times New Roman" w:cs="Times New Roman"/>
          <w:kern w:val="0"/>
          <w:lang w:val="uk-UA"/>
        </w:rPr>
        <w:t>Українi</w:t>
      </w:r>
      <w:proofErr w:type="spellEnd"/>
      <w:r w:rsidR="007A2141" w:rsidRPr="004229C1">
        <w:rPr>
          <w:rFonts w:ascii="Times New Roman" w:hAnsi="Times New Roman" w:cs="Times New Roman"/>
          <w:kern w:val="0"/>
          <w:lang w:val="uk-UA"/>
        </w:rPr>
        <w:t xml:space="preserve">, Європейська </w:t>
      </w:r>
      <w:proofErr w:type="spellStart"/>
      <w:r w:rsidR="007A2141" w:rsidRPr="004229C1">
        <w:rPr>
          <w:rFonts w:ascii="Times New Roman" w:hAnsi="Times New Roman" w:cs="Times New Roman"/>
          <w:kern w:val="0"/>
          <w:lang w:val="uk-UA"/>
        </w:rPr>
        <w:t>Бiзнес</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Асоцiацiя</w:t>
      </w:r>
      <w:proofErr w:type="spellEnd"/>
      <w:r w:rsidR="007A2141" w:rsidRPr="004229C1">
        <w:rPr>
          <w:rFonts w:ascii="Times New Roman" w:hAnsi="Times New Roman" w:cs="Times New Roman"/>
          <w:kern w:val="0"/>
          <w:lang w:val="uk-UA"/>
        </w:rPr>
        <w:t xml:space="preserve"> є </w:t>
      </w:r>
      <w:proofErr w:type="spellStart"/>
      <w:r w:rsidR="007A2141" w:rsidRPr="004229C1">
        <w:rPr>
          <w:rFonts w:ascii="Times New Roman" w:hAnsi="Times New Roman" w:cs="Times New Roman"/>
          <w:kern w:val="0"/>
          <w:lang w:val="uk-UA"/>
        </w:rPr>
        <w:t>провiдною</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органiзацiєю</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мiжнародного</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бiзнесу</w:t>
      </w:r>
      <w:proofErr w:type="spellEnd"/>
      <w:r w:rsidR="007A2141" w:rsidRPr="004229C1">
        <w:rPr>
          <w:rFonts w:ascii="Times New Roman" w:hAnsi="Times New Roman" w:cs="Times New Roman"/>
          <w:kern w:val="0"/>
          <w:lang w:val="uk-UA"/>
        </w:rPr>
        <w:t xml:space="preserve"> в </w:t>
      </w:r>
      <w:proofErr w:type="spellStart"/>
      <w:r w:rsidR="007A2141" w:rsidRPr="004229C1">
        <w:rPr>
          <w:rFonts w:ascii="Times New Roman" w:hAnsi="Times New Roman" w:cs="Times New Roman"/>
          <w:kern w:val="0"/>
          <w:lang w:val="uk-UA"/>
        </w:rPr>
        <w:t>Українi</w:t>
      </w:r>
      <w:proofErr w:type="spellEnd"/>
      <w:r w:rsidR="007A2141" w:rsidRPr="004229C1">
        <w:rPr>
          <w:rFonts w:ascii="Times New Roman" w:hAnsi="Times New Roman" w:cs="Times New Roman"/>
          <w:kern w:val="0"/>
          <w:lang w:val="uk-UA"/>
        </w:rPr>
        <w:t xml:space="preserve"> та об'єднує близько 900 європейських, українських та </w:t>
      </w:r>
      <w:proofErr w:type="spellStart"/>
      <w:r w:rsidR="007A2141" w:rsidRPr="004229C1">
        <w:rPr>
          <w:rFonts w:ascii="Times New Roman" w:hAnsi="Times New Roman" w:cs="Times New Roman"/>
          <w:kern w:val="0"/>
          <w:lang w:val="uk-UA"/>
        </w:rPr>
        <w:t>мiжнародних</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компанiй</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w:t>
      </w:r>
      <w:r w:rsidRPr="004229C1">
        <w:rPr>
          <w:rFonts w:ascii="Times New Roman" w:hAnsi="Times New Roman" w:cs="Times New Roman"/>
          <w:kern w:val="0"/>
          <w:lang w:val="uk-UA"/>
        </w:rPr>
        <w:t xml:space="preserve"> </w:t>
      </w:r>
      <w:hyperlink r:id="rId16" w:history="1">
        <w:r w:rsidRPr="004229C1">
          <w:rPr>
            <w:rStyle w:val="Hyperlink"/>
            <w:rFonts w:ascii="Times New Roman" w:hAnsi="Times New Roman" w:cs="Times New Roman"/>
            <w:kern w:val="0"/>
            <w:lang w:val="uk-UA"/>
          </w:rPr>
          <w:t>https://eba.com.ua/</w:t>
        </w:r>
      </w:hyperlink>
      <w:r w:rsidRPr="004229C1">
        <w:rPr>
          <w:rFonts w:ascii="Times New Roman" w:hAnsi="Times New Roman" w:cs="Times New Roman"/>
          <w:kern w:val="0"/>
          <w:lang w:val="uk-UA"/>
        </w:rPr>
        <w:t xml:space="preserve"> </w:t>
      </w:r>
    </w:p>
    <w:p w14:paraId="4A213936" w14:textId="2F22716A" w:rsidR="00F53F0E" w:rsidRPr="004229C1" w:rsidRDefault="00F53F0E" w:rsidP="00F53F0E">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Громадська Спілка «Мережа Глобального Договору в Україні»</w:t>
      </w:r>
      <w:r w:rsidR="003257FC" w:rsidRPr="004229C1">
        <w:rPr>
          <w:rFonts w:ascii="Times New Roman" w:hAnsi="Times New Roman" w:cs="Times New Roman"/>
          <w:kern w:val="0"/>
          <w:lang w:val="uk-UA"/>
        </w:rPr>
        <w:t>: 01021, Україна, Київська область, Київ, Кловський Узвіз, буд. 1;</w:t>
      </w:r>
      <w:r w:rsidR="003257FC" w:rsidRPr="004229C1">
        <w:rPr>
          <w:rFonts w:ascii="Times New Roman" w:hAnsi="Times New Roman" w:cs="Times New Roman"/>
          <w:lang w:val="uk-UA"/>
        </w:rPr>
        <w:t xml:space="preserve"> </w:t>
      </w:r>
      <w:r w:rsidR="003257FC" w:rsidRPr="004229C1">
        <w:rPr>
          <w:rFonts w:ascii="Times New Roman" w:hAnsi="Times New Roman" w:cs="Times New Roman"/>
          <w:kern w:val="0"/>
          <w:lang w:val="uk-UA"/>
        </w:rPr>
        <w:t xml:space="preserve">Українська мережа найбільшої у світі спільноти бізнесів, які працюють відповідно до ESG-принципів. Це особлива ініціатива Генерального секретаря ООН, місією якої є заклик компанії до </w:t>
      </w:r>
      <w:proofErr w:type="spellStart"/>
      <w:r w:rsidR="003257FC" w:rsidRPr="004229C1">
        <w:rPr>
          <w:rFonts w:ascii="Times New Roman" w:hAnsi="Times New Roman" w:cs="Times New Roman"/>
          <w:kern w:val="0"/>
          <w:lang w:val="uk-UA"/>
        </w:rPr>
        <w:t>вибудови</w:t>
      </w:r>
      <w:proofErr w:type="spellEnd"/>
      <w:r w:rsidR="003257FC" w:rsidRPr="004229C1">
        <w:rPr>
          <w:rFonts w:ascii="Times New Roman" w:hAnsi="Times New Roman" w:cs="Times New Roman"/>
          <w:kern w:val="0"/>
          <w:lang w:val="uk-UA"/>
        </w:rPr>
        <w:t xml:space="preserve"> своєї діяльності та стратегії з урахуванням Цілей сталого розвитку та на основі 10 Принципів у галузі прав людини, трудових відносин, захисту довкілля і боротьби з корупцією; </w:t>
      </w:r>
      <w:proofErr w:type="spellStart"/>
      <w:r w:rsidR="003257FC" w:rsidRPr="004229C1">
        <w:rPr>
          <w:rFonts w:ascii="Times New Roman" w:hAnsi="Times New Roman" w:cs="Times New Roman"/>
          <w:kern w:val="0"/>
          <w:lang w:val="uk-UA"/>
        </w:rPr>
        <w:t>термiн</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участi</w:t>
      </w:r>
      <w:proofErr w:type="spellEnd"/>
      <w:r w:rsidR="003257FC" w:rsidRPr="004229C1">
        <w:rPr>
          <w:rFonts w:ascii="Times New Roman" w:hAnsi="Times New Roman" w:cs="Times New Roman"/>
          <w:kern w:val="0"/>
          <w:lang w:val="uk-UA"/>
        </w:rPr>
        <w:t xml:space="preserve"> не визначений; </w:t>
      </w:r>
      <w:hyperlink r:id="rId17" w:history="1">
        <w:r w:rsidRPr="004229C1">
          <w:rPr>
            <w:rStyle w:val="Hyperlink"/>
            <w:rFonts w:ascii="Times New Roman" w:hAnsi="Times New Roman" w:cs="Times New Roman"/>
            <w:kern w:val="0"/>
            <w:lang w:val="uk-UA"/>
          </w:rPr>
          <w:t>https://globalcompact.org.ua/</w:t>
        </w:r>
      </w:hyperlink>
      <w:r w:rsidRPr="004229C1">
        <w:rPr>
          <w:rFonts w:ascii="Times New Roman" w:hAnsi="Times New Roman" w:cs="Times New Roman"/>
          <w:kern w:val="0"/>
          <w:lang w:val="uk-UA"/>
        </w:rPr>
        <w:t xml:space="preserve"> </w:t>
      </w:r>
    </w:p>
    <w:p w14:paraId="1D822119" w14:textId="07FCFA05" w:rsidR="00F53F0E" w:rsidRPr="004229C1" w:rsidRDefault="00F53F0E" w:rsidP="00F53F0E">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-Українська міжбанківська асоціація членів платіжних систем ЄМА</w:t>
      </w:r>
      <w:r w:rsidR="007A2141" w:rsidRPr="004229C1">
        <w:rPr>
          <w:rFonts w:ascii="Times New Roman" w:hAnsi="Times New Roman" w:cs="Times New Roman"/>
          <w:kern w:val="0"/>
          <w:lang w:val="uk-UA"/>
        </w:rPr>
        <w:t>: 01011, м. Київ, вул. Лєскова, 9; "ЄМА"</w:t>
      </w:r>
      <w:r w:rsidR="00661D7E" w:rsidRPr="004229C1">
        <w:rPr>
          <w:rFonts w:ascii="Times New Roman" w:hAnsi="Times New Roman" w:cs="Times New Roman"/>
          <w:kern w:val="0"/>
          <w:lang w:val="uk-UA"/>
        </w:rPr>
        <w:t xml:space="preserve"> </w:t>
      </w:r>
      <w:r w:rsidR="007A2141" w:rsidRPr="004229C1">
        <w:rPr>
          <w:rFonts w:ascii="Times New Roman" w:hAnsi="Times New Roman" w:cs="Times New Roman"/>
          <w:kern w:val="0"/>
          <w:lang w:val="uk-UA"/>
        </w:rPr>
        <w:t xml:space="preserve">переважно </w:t>
      </w:r>
      <w:proofErr w:type="spellStart"/>
      <w:r w:rsidR="007A2141" w:rsidRPr="004229C1">
        <w:rPr>
          <w:rFonts w:ascii="Times New Roman" w:hAnsi="Times New Roman" w:cs="Times New Roman"/>
          <w:kern w:val="0"/>
          <w:lang w:val="uk-UA"/>
        </w:rPr>
        <w:t>взаємодiє</w:t>
      </w:r>
      <w:proofErr w:type="spellEnd"/>
      <w:r w:rsidR="007A2141" w:rsidRPr="004229C1">
        <w:rPr>
          <w:rFonts w:ascii="Times New Roman" w:hAnsi="Times New Roman" w:cs="Times New Roman"/>
          <w:kern w:val="0"/>
          <w:lang w:val="uk-UA"/>
        </w:rPr>
        <w:t xml:space="preserve"> з членами </w:t>
      </w:r>
      <w:proofErr w:type="spellStart"/>
      <w:r w:rsidR="007A2141" w:rsidRPr="004229C1">
        <w:rPr>
          <w:rFonts w:ascii="Times New Roman" w:hAnsi="Times New Roman" w:cs="Times New Roman"/>
          <w:kern w:val="0"/>
          <w:lang w:val="uk-UA"/>
        </w:rPr>
        <w:t>мiжнародних</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платiжних</w:t>
      </w:r>
      <w:proofErr w:type="spellEnd"/>
      <w:r w:rsidR="007A2141" w:rsidRPr="004229C1">
        <w:rPr>
          <w:rFonts w:ascii="Times New Roman" w:hAnsi="Times New Roman" w:cs="Times New Roman"/>
          <w:kern w:val="0"/>
          <w:lang w:val="uk-UA"/>
        </w:rPr>
        <w:t xml:space="preserve"> системам й </w:t>
      </w:r>
      <w:proofErr w:type="spellStart"/>
      <w:r w:rsidR="007A2141" w:rsidRPr="004229C1">
        <w:rPr>
          <w:rFonts w:ascii="Times New Roman" w:hAnsi="Times New Roman" w:cs="Times New Roman"/>
          <w:kern w:val="0"/>
          <w:lang w:val="uk-UA"/>
        </w:rPr>
        <w:t>iнших</w:t>
      </w:r>
      <w:proofErr w:type="spellEnd"/>
      <w:r w:rsidR="007A2141" w:rsidRPr="004229C1">
        <w:rPr>
          <w:rFonts w:ascii="Times New Roman" w:hAnsi="Times New Roman" w:cs="Times New Roman"/>
          <w:kern w:val="0"/>
          <w:lang w:val="uk-UA"/>
        </w:rPr>
        <w:t xml:space="preserve"> систем, заснованими на </w:t>
      </w:r>
      <w:proofErr w:type="spellStart"/>
      <w:r w:rsidR="007A2141" w:rsidRPr="004229C1">
        <w:rPr>
          <w:rFonts w:ascii="Times New Roman" w:hAnsi="Times New Roman" w:cs="Times New Roman"/>
          <w:kern w:val="0"/>
          <w:lang w:val="uk-UA"/>
        </w:rPr>
        <w:t>використаннi</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платiжних</w:t>
      </w:r>
      <w:proofErr w:type="spellEnd"/>
      <w:r w:rsidR="007A2141" w:rsidRPr="004229C1">
        <w:rPr>
          <w:rFonts w:ascii="Times New Roman" w:hAnsi="Times New Roman" w:cs="Times New Roman"/>
          <w:kern w:val="0"/>
          <w:lang w:val="uk-UA"/>
        </w:rPr>
        <w:t xml:space="preserve"> карток, електронних </w:t>
      </w:r>
      <w:proofErr w:type="spellStart"/>
      <w:r w:rsidR="007A2141" w:rsidRPr="004229C1">
        <w:rPr>
          <w:rFonts w:ascii="Times New Roman" w:hAnsi="Times New Roman" w:cs="Times New Roman"/>
          <w:kern w:val="0"/>
          <w:lang w:val="uk-UA"/>
        </w:rPr>
        <w:t>засобiв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платежiв</w:t>
      </w:r>
      <w:proofErr w:type="spellEnd"/>
      <w:r w:rsidR="007A2141" w:rsidRPr="004229C1">
        <w:rPr>
          <w:rFonts w:ascii="Times New Roman" w:hAnsi="Times New Roman" w:cs="Times New Roman"/>
          <w:kern w:val="0"/>
          <w:lang w:val="uk-UA"/>
        </w:rPr>
        <w:t xml:space="preserve">, електронного середовища, що працюють по загальновизнаних </w:t>
      </w:r>
      <w:proofErr w:type="spellStart"/>
      <w:r w:rsidR="007A2141" w:rsidRPr="004229C1">
        <w:rPr>
          <w:rFonts w:ascii="Times New Roman" w:hAnsi="Times New Roman" w:cs="Times New Roman"/>
          <w:kern w:val="0"/>
          <w:lang w:val="uk-UA"/>
        </w:rPr>
        <w:t>мiжнародних</w:t>
      </w:r>
      <w:proofErr w:type="spellEnd"/>
      <w:r w:rsidR="007A2141" w:rsidRPr="004229C1">
        <w:rPr>
          <w:rFonts w:ascii="Times New Roman" w:hAnsi="Times New Roman" w:cs="Times New Roman"/>
          <w:kern w:val="0"/>
          <w:lang w:val="uk-UA"/>
        </w:rPr>
        <w:t xml:space="preserve"> або галузевих стандартах;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 </w:t>
      </w:r>
      <w:hyperlink r:id="rId18" w:history="1">
        <w:r w:rsidRPr="004229C1">
          <w:rPr>
            <w:rStyle w:val="Hyperlink"/>
            <w:rFonts w:ascii="Times New Roman" w:hAnsi="Times New Roman" w:cs="Times New Roman"/>
            <w:kern w:val="0"/>
            <w:lang w:val="uk-UA"/>
          </w:rPr>
          <w:t>https://www.ema.com.ua/</w:t>
        </w:r>
      </w:hyperlink>
    </w:p>
    <w:p w14:paraId="220A0AE8" w14:textId="52E5197F" w:rsidR="00A27A01" w:rsidRPr="004229C1" w:rsidRDefault="00A27A01" w:rsidP="00197B48">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Професійної Асоціації учасників Ринків капіталу та Деривативів</w:t>
      </w:r>
      <w:r w:rsidR="003257FC" w:rsidRPr="004229C1">
        <w:rPr>
          <w:rFonts w:ascii="Times New Roman" w:hAnsi="Times New Roman" w:cs="Times New Roman"/>
          <w:kern w:val="0"/>
          <w:lang w:val="uk-UA"/>
        </w:rPr>
        <w:t xml:space="preserve">: 02002, Україна, м. Київ, вул. Євгена Сверстюка, 19, </w:t>
      </w:r>
      <w:proofErr w:type="spellStart"/>
      <w:r w:rsidR="003257FC" w:rsidRPr="004229C1">
        <w:rPr>
          <w:rFonts w:ascii="Times New Roman" w:hAnsi="Times New Roman" w:cs="Times New Roman"/>
          <w:kern w:val="0"/>
          <w:lang w:val="uk-UA"/>
        </w:rPr>
        <w:t>офiс</w:t>
      </w:r>
      <w:proofErr w:type="spellEnd"/>
      <w:r w:rsidR="003257FC" w:rsidRPr="004229C1">
        <w:rPr>
          <w:rFonts w:ascii="Times New Roman" w:hAnsi="Times New Roman" w:cs="Times New Roman"/>
          <w:kern w:val="0"/>
          <w:lang w:val="uk-UA"/>
        </w:rPr>
        <w:t xml:space="preserve"> 415; ПАРД є неприбутковим об'єднанням </w:t>
      </w:r>
      <w:proofErr w:type="spellStart"/>
      <w:r w:rsidR="003257FC" w:rsidRPr="004229C1">
        <w:rPr>
          <w:rFonts w:ascii="Times New Roman" w:hAnsi="Times New Roman" w:cs="Times New Roman"/>
          <w:kern w:val="0"/>
          <w:lang w:val="uk-UA"/>
        </w:rPr>
        <w:t>лiцензованих</w:t>
      </w:r>
      <w:proofErr w:type="spellEnd"/>
      <w:r w:rsidR="003257FC" w:rsidRPr="004229C1">
        <w:rPr>
          <w:rFonts w:ascii="Times New Roman" w:hAnsi="Times New Roman" w:cs="Times New Roman"/>
          <w:kern w:val="0"/>
          <w:lang w:val="uk-UA"/>
        </w:rPr>
        <w:t xml:space="preserve"> НКЦПФР </w:t>
      </w:r>
      <w:proofErr w:type="spellStart"/>
      <w:r w:rsidR="003257FC" w:rsidRPr="004229C1">
        <w:rPr>
          <w:rFonts w:ascii="Times New Roman" w:hAnsi="Times New Roman" w:cs="Times New Roman"/>
          <w:kern w:val="0"/>
          <w:lang w:val="uk-UA"/>
        </w:rPr>
        <w:t>учасникiв</w:t>
      </w:r>
      <w:proofErr w:type="spellEnd"/>
      <w:r w:rsidR="003257FC" w:rsidRPr="004229C1">
        <w:rPr>
          <w:rFonts w:ascii="Times New Roman" w:hAnsi="Times New Roman" w:cs="Times New Roman"/>
          <w:kern w:val="0"/>
          <w:lang w:val="uk-UA"/>
        </w:rPr>
        <w:t xml:space="preserve"> фондового ринку, </w:t>
      </w:r>
      <w:proofErr w:type="spellStart"/>
      <w:r w:rsidR="003257FC" w:rsidRPr="004229C1">
        <w:rPr>
          <w:rFonts w:ascii="Times New Roman" w:hAnsi="Times New Roman" w:cs="Times New Roman"/>
          <w:kern w:val="0"/>
          <w:lang w:val="uk-UA"/>
        </w:rPr>
        <w:t>якi</w:t>
      </w:r>
      <w:proofErr w:type="spellEnd"/>
      <w:r w:rsidR="003257FC" w:rsidRPr="004229C1">
        <w:rPr>
          <w:rFonts w:ascii="Times New Roman" w:hAnsi="Times New Roman" w:cs="Times New Roman"/>
          <w:kern w:val="0"/>
          <w:lang w:val="uk-UA"/>
        </w:rPr>
        <w:t xml:space="preserve"> провадять </w:t>
      </w:r>
      <w:proofErr w:type="spellStart"/>
      <w:r w:rsidR="003257FC" w:rsidRPr="004229C1">
        <w:rPr>
          <w:rFonts w:ascii="Times New Roman" w:hAnsi="Times New Roman" w:cs="Times New Roman"/>
          <w:kern w:val="0"/>
          <w:lang w:val="uk-UA"/>
        </w:rPr>
        <w:t>професiйну</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дiяльнiсть</w:t>
      </w:r>
      <w:proofErr w:type="spellEnd"/>
      <w:r w:rsidR="003257FC" w:rsidRPr="004229C1">
        <w:rPr>
          <w:rFonts w:ascii="Times New Roman" w:hAnsi="Times New Roman" w:cs="Times New Roman"/>
          <w:kern w:val="0"/>
          <w:lang w:val="uk-UA"/>
        </w:rPr>
        <w:t xml:space="preserve"> на фондовому ринку (ринку </w:t>
      </w:r>
      <w:proofErr w:type="spellStart"/>
      <w:r w:rsidR="003257FC" w:rsidRPr="004229C1">
        <w:rPr>
          <w:rFonts w:ascii="Times New Roman" w:hAnsi="Times New Roman" w:cs="Times New Roman"/>
          <w:kern w:val="0"/>
          <w:lang w:val="uk-UA"/>
        </w:rPr>
        <w:t>цiнних</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паперiв</w:t>
      </w:r>
      <w:proofErr w:type="spellEnd"/>
      <w:r w:rsidR="003257FC" w:rsidRPr="004229C1">
        <w:rPr>
          <w:rFonts w:ascii="Times New Roman" w:hAnsi="Times New Roman" w:cs="Times New Roman"/>
          <w:kern w:val="0"/>
          <w:lang w:val="uk-UA"/>
        </w:rPr>
        <w:t xml:space="preserve">) з </w:t>
      </w:r>
      <w:proofErr w:type="spellStart"/>
      <w:r w:rsidR="003257FC" w:rsidRPr="004229C1">
        <w:rPr>
          <w:rFonts w:ascii="Times New Roman" w:hAnsi="Times New Roman" w:cs="Times New Roman"/>
          <w:kern w:val="0"/>
          <w:lang w:val="uk-UA"/>
        </w:rPr>
        <w:t>торгiвлi</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цiнними</w:t>
      </w:r>
      <w:proofErr w:type="spellEnd"/>
      <w:r w:rsidR="003257FC" w:rsidRPr="004229C1">
        <w:rPr>
          <w:rFonts w:ascii="Times New Roman" w:hAnsi="Times New Roman" w:cs="Times New Roman"/>
          <w:kern w:val="0"/>
          <w:lang w:val="uk-UA"/>
        </w:rPr>
        <w:t xml:space="preserve"> паперами та депозитарну </w:t>
      </w:r>
      <w:proofErr w:type="spellStart"/>
      <w:r w:rsidR="003257FC" w:rsidRPr="004229C1">
        <w:rPr>
          <w:rFonts w:ascii="Times New Roman" w:hAnsi="Times New Roman" w:cs="Times New Roman"/>
          <w:kern w:val="0"/>
          <w:lang w:val="uk-UA"/>
        </w:rPr>
        <w:t>дiяльнiсть</w:t>
      </w:r>
      <w:proofErr w:type="spellEnd"/>
      <w:r w:rsidR="003257FC" w:rsidRPr="004229C1">
        <w:rPr>
          <w:rFonts w:ascii="Times New Roman" w:hAnsi="Times New Roman" w:cs="Times New Roman"/>
          <w:kern w:val="0"/>
          <w:lang w:val="uk-UA"/>
        </w:rPr>
        <w:t xml:space="preserve">. ПАРД має статус </w:t>
      </w:r>
      <w:proofErr w:type="spellStart"/>
      <w:r w:rsidR="003257FC" w:rsidRPr="004229C1">
        <w:rPr>
          <w:rFonts w:ascii="Times New Roman" w:hAnsi="Times New Roman" w:cs="Times New Roman"/>
          <w:kern w:val="0"/>
          <w:lang w:val="uk-UA"/>
        </w:rPr>
        <w:t>саморегулiвної</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органiзацiї</w:t>
      </w:r>
      <w:proofErr w:type="spellEnd"/>
      <w:r w:rsidR="003257FC" w:rsidRPr="004229C1">
        <w:rPr>
          <w:rFonts w:ascii="Times New Roman" w:hAnsi="Times New Roman" w:cs="Times New Roman"/>
          <w:kern w:val="0"/>
          <w:lang w:val="uk-UA"/>
        </w:rPr>
        <w:t xml:space="preserve"> (СРО), </w:t>
      </w:r>
      <w:proofErr w:type="spellStart"/>
      <w:r w:rsidR="003257FC" w:rsidRPr="004229C1">
        <w:rPr>
          <w:rFonts w:ascii="Times New Roman" w:hAnsi="Times New Roman" w:cs="Times New Roman"/>
          <w:kern w:val="0"/>
          <w:lang w:val="uk-UA"/>
        </w:rPr>
        <w:t>вiдповiдно</w:t>
      </w:r>
      <w:proofErr w:type="spellEnd"/>
      <w:r w:rsidR="003257FC" w:rsidRPr="004229C1">
        <w:rPr>
          <w:rFonts w:ascii="Times New Roman" w:hAnsi="Times New Roman" w:cs="Times New Roman"/>
          <w:kern w:val="0"/>
          <w:lang w:val="uk-UA"/>
        </w:rPr>
        <w:t xml:space="preserve"> до вимог НКЦПФР. </w:t>
      </w:r>
      <w:proofErr w:type="spellStart"/>
      <w:r w:rsidR="003257FC" w:rsidRPr="004229C1">
        <w:rPr>
          <w:rFonts w:ascii="Times New Roman" w:hAnsi="Times New Roman" w:cs="Times New Roman"/>
          <w:kern w:val="0"/>
          <w:lang w:val="uk-UA"/>
        </w:rPr>
        <w:t>Однiєю</w:t>
      </w:r>
      <w:proofErr w:type="spellEnd"/>
      <w:r w:rsidR="003257FC" w:rsidRPr="004229C1">
        <w:rPr>
          <w:rFonts w:ascii="Times New Roman" w:hAnsi="Times New Roman" w:cs="Times New Roman"/>
          <w:kern w:val="0"/>
          <w:lang w:val="uk-UA"/>
        </w:rPr>
        <w:t xml:space="preserve"> з обов'язкових умов для </w:t>
      </w:r>
      <w:proofErr w:type="spellStart"/>
      <w:r w:rsidR="003257FC" w:rsidRPr="004229C1">
        <w:rPr>
          <w:rFonts w:ascii="Times New Roman" w:hAnsi="Times New Roman" w:cs="Times New Roman"/>
          <w:kern w:val="0"/>
          <w:lang w:val="uk-UA"/>
        </w:rPr>
        <w:t>юр.особи</w:t>
      </w:r>
      <w:proofErr w:type="spellEnd"/>
      <w:r w:rsidR="003257FC" w:rsidRPr="004229C1">
        <w:rPr>
          <w:rFonts w:ascii="Times New Roman" w:hAnsi="Times New Roman" w:cs="Times New Roman"/>
          <w:kern w:val="0"/>
          <w:lang w:val="uk-UA"/>
        </w:rPr>
        <w:t xml:space="preserve"> яка має </w:t>
      </w:r>
      <w:proofErr w:type="spellStart"/>
      <w:r w:rsidR="003257FC" w:rsidRPr="004229C1">
        <w:rPr>
          <w:rFonts w:ascii="Times New Roman" w:hAnsi="Times New Roman" w:cs="Times New Roman"/>
          <w:kern w:val="0"/>
          <w:lang w:val="uk-UA"/>
        </w:rPr>
        <w:t>лiцензiю</w:t>
      </w:r>
      <w:proofErr w:type="spellEnd"/>
      <w:r w:rsidR="003257FC" w:rsidRPr="004229C1">
        <w:rPr>
          <w:rFonts w:ascii="Times New Roman" w:hAnsi="Times New Roman" w:cs="Times New Roman"/>
          <w:kern w:val="0"/>
          <w:lang w:val="uk-UA"/>
        </w:rPr>
        <w:t xml:space="preserve"> на провадження проф. </w:t>
      </w:r>
      <w:proofErr w:type="spellStart"/>
      <w:r w:rsidR="003257FC" w:rsidRPr="004229C1">
        <w:rPr>
          <w:rFonts w:ascii="Times New Roman" w:hAnsi="Times New Roman" w:cs="Times New Roman"/>
          <w:kern w:val="0"/>
          <w:lang w:val="uk-UA"/>
        </w:rPr>
        <w:t>дiяльностi</w:t>
      </w:r>
      <w:proofErr w:type="spellEnd"/>
      <w:r w:rsidR="003257FC" w:rsidRPr="004229C1">
        <w:rPr>
          <w:rFonts w:ascii="Times New Roman" w:hAnsi="Times New Roman" w:cs="Times New Roman"/>
          <w:kern w:val="0"/>
          <w:lang w:val="uk-UA"/>
        </w:rPr>
        <w:t xml:space="preserve"> з </w:t>
      </w:r>
      <w:proofErr w:type="spellStart"/>
      <w:r w:rsidR="003257FC" w:rsidRPr="004229C1">
        <w:rPr>
          <w:rFonts w:ascii="Times New Roman" w:hAnsi="Times New Roman" w:cs="Times New Roman"/>
          <w:kern w:val="0"/>
          <w:lang w:val="uk-UA"/>
        </w:rPr>
        <w:t>торгiвлi</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цiнними</w:t>
      </w:r>
      <w:proofErr w:type="spellEnd"/>
      <w:r w:rsidR="003257FC" w:rsidRPr="004229C1">
        <w:rPr>
          <w:rFonts w:ascii="Times New Roman" w:hAnsi="Times New Roman" w:cs="Times New Roman"/>
          <w:kern w:val="0"/>
          <w:lang w:val="uk-UA"/>
        </w:rPr>
        <w:t xml:space="preserve"> паперами та/або депозитарної </w:t>
      </w:r>
      <w:proofErr w:type="spellStart"/>
      <w:r w:rsidR="003257FC" w:rsidRPr="004229C1">
        <w:rPr>
          <w:rFonts w:ascii="Times New Roman" w:hAnsi="Times New Roman" w:cs="Times New Roman"/>
          <w:kern w:val="0"/>
          <w:lang w:val="uk-UA"/>
        </w:rPr>
        <w:t>дiяльностi</w:t>
      </w:r>
      <w:proofErr w:type="spellEnd"/>
      <w:r w:rsidR="003257FC" w:rsidRPr="004229C1">
        <w:rPr>
          <w:rFonts w:ascii="Times New Roman" w:hAnsi="Times New Roman" w:cs="Times New Roman"/>
          <w:kern w:val="0"/>
          <w:lang w:val="uk-UA"/>
        </w:rPr>
        <w:t xml:space="preserve"> є членство в СРО (</w:t>
      </w:r>
      <w:proofErr w:type="spellStart"/>
      <w:r w:rsidR="003257FC" w:rsidRPr="004229C1">
        <w:rPr>
          <w:rFonts w:ascii="Times New Roman" w:hAnsi="Times New Roman" w:cs="Times New Roman"/>
          <w:kern w:val="0"/>
          <w:lang w:val="uk-UA"/>
        </w:rPr>
        <w:t>рiшення</w:t>
      </w:r>
      <w:proofErr w:type="spellEnd"/>
      <w:r w:rsidR="003257FC" w:rsidRPr="004229C1">
        <w:rPr>
          <w:rFonts w:ascii="Times New Roman" w:hAnsi="Times New Roman" w:cs="Times New Roman"/>
          <w:kern w:val="0"/>
          <w:lang w:val="uk-UA"/>
        </w:rPr>
        <w:t xml:space="preserve"> НКЦПФ </w:t>
      </w:r>
      <w:proofErr w:type="spellStart"/>
      <w:r w:rsidR="003257FC" w:rsidRPr="004229C1">
        <w:rPr>
          <w:rFonts w:ascii="Times New Roman" w:hAnsi="Times New Roman" w:cs="Times New Roman"/>
          <w:kern w:val="0"/>
          <w:lang w:val="uk-UA"/>
        </w:rPr>
        <w:t>вiд</w:t>
      </w:r>
      <w:proofErr w:type="spellEnd"/>
      <w:r w:rsidR="003257FC" w:rsidRPr="004229C1">
        <w:rPr>
          <w:rFonts w:ascii="Times New Roman" w:hAnsi="Times New Roman" w:cs="Times New Roman"/>
          <w:kern w:val="0"/>
          <w:lang w:val="uk-UA"/>
        </w:rPr>
        <w:t xml:space="preserve"> 14.05.2013 № 819); </w:t>
      </w:r>
      <w:proofErr w:type="spellStart"/>
      <w:r w:rsidR="003257FC" w:rsidRPr="004229C1">
        <w:rPr>
          <w:rFonts w:ascii="Times New Roman" w:hAnsi="Times New Roman" w:cs="Times New Roman"/>
          <w:kern w:val="0"/>
          <w:lang w:val="uk-UA"/>
        </w:rPr>
        <w:t>термiн</w:t>
      </w:r>
      <w:proofErr w:type="spellEnd"/>
      <w:r w:rsidR="003257FC" w:rsidRPr="004229C1">
        <w:rPr>
          <w:rFonts w:ascii="Times New Roman" w:hAnsi="Times New Roman" w:cs="Times New Roman"/>
          <w:kern w:val="0"/>
          <w:lang w:val="uk-UA"/>
        </w:rPr>
        <w:t xml:space="preserve"> </w:t>
      </w:r>
      <w:proofErr w:type="spellStart"/>
      <w:r w:rsidR="003257FC" w:rsidRPr="004229C1">
        <w:rPr>
          <w:rFonts w:ascii="Times New Roman" w:hAnsi="Times New Roman" w:cs="Times New Roman"/>
          <w:kern w:val="0"/>
          <w:lang w:val="uk-UA"/>
        </w:rPr>
        <w:t>участi</w:t>
      </w:r>
      <w:proofErr w:type="spellEnd"/>
      <w:r w:rsidR="003257FC" w:rsidRPr="004229C1">
        <w:rPr>
          <w:rFonts w:ascii="Times New Roman" w:hAnsi="Times New Roman" w:cs="Times New Roman"/>
          <w:kern w:val="0"/>
          <w:lang w:val="uk-UA"/>
        </w:rPr>
        <w:t xml:space="preserve"> не визначений; </w:t>
      </w:r>
      <w:hyperlink r:id="rId19" w:history="1">
        <w:r w:rsidRPr="004229C1">
          <w:rPr>
            <w:rStyle w:val="Hyperlink"/>
            <w:rFonts w:ascii="Times New Roman" w:hAnsi="Times New Roman" w:cs="Times New Roman"/>
            <w:kern w:val="0"/>
            <w:lang w:val="uk-UA"/>
          </w:rPr>
          <w:t>https://www.pard.ua/</w:t>
        </w:r>
      </w:hyperlink>
      <w:r w:rsidRPr="004229C1">
        <w:rPr>
          <w:rFonts w:ascii="Times New Roman" w:hAnsi="Times New Roman" w:cs="Times New Roman"/>
          <w:kern w:val="0"/>
          <w:lang w:val="uk-UA"/>
        </w:rPr>
        <w:t xml:space="preserve"> </w:t>
      </w:r>
    </w:p>
    <w:p w14:paraId="145D6B97" w14:textId="19ACF1AE" w:rsidR="00B64BB1" w:rsidRPr="004229C1" w:rsidRDefault="00A27A01" w:rsidP="00F53F0E">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Асоціація «</w:t>
      </w:r>
      <w:proofErr w:type="spellStart"/>
      <w:r w:rsidRPr="004229C1">
        <w:rPr>
          <w:rFonts w:ascii="Times New Roman" w:hAnsi="Times New Roman" w:cs="Times New Roman"/>
          <w:kern w:val="0"/>
          <w:lang w:val="uk-UA"/>
        </w:rPr>
        <w:t>УкрСВІФТ</w:t>
      </w:r>
      <w:proofErr w:type="spellEnd"/>
      <w:r w:rsidRPr="004229C1">
        <w:rPr>
          <w:rFonts w:ascii="Times New Roman" w:hAnsi="Times New Roman" w:cs="Times New Roman"/>
          <w:kern w:val="0"/>
          <w:lang w:val="uk-UA"/>
        </w:rPr>
        <w:t>»</w:t>
      </w:r>
      <w:r w:rsidR="007A2141" w:rsidRPr="004229C1">
        <w:rPr>
          <w:rFonts w:ascii="Times New Roman" w:hAnsi="Times New Roman" w:cs="Times New Roman"/>
          <w:kern w:val="0"/>
          <w:lang w:val="uk-UA"/>
        </w:rPr>
        <w:t xml:space="preserve">: 04053, </w:t>
      </w:r>
      <w:proofErr w:type="spellStart"/>
      <w:r w:rsidR="007A2141" w:rsidRPr="004229C1">
        <w:rPr>
          <w:rFonts w:ascii="Times New Roman" w:hAnsi="Times New Roman" w:cs="Times New Roman"/>
          <w:kern w:val="0"/>
          <w:lang w:val="uk-UA"/>
        </w:rPr>
        <w:t>м.Київ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вул.Обсерваторна</w:t>
      </w:r>
      <w:proofErr w:type="spellEnd"/>
      <w:r w:rsidR="007A2141" w:rsidRPr="004229C1">
        <w:rPr>
          <w:rFonts w:ascii="Times New Roman" w:hAnsi="Times New Roman" w:cs="Times New Roman"/>
          <w:kern w:val="0"/>
          <w:lang w:val="uk-UA"/>
        </w:rPr>
        <w:t xml:space="preserve">, 21-А; </w:t>
      </w:r>
      <w:proofErr w:type="spellStart"/>
      <w:r w:rsidR="007A2141" w:rsidRPr="004229C1">
        <w:rPr>
          <w:rFonts w:ascii="Times New Roman" w:hAnsi="Times New Roman" w:cs="Times New Roman"/>
          <w:kern w:val="0"/>
          <w:lang w:val="uk-UA"/>
        </w:rPr>
        <w:t>Асоцiацiя</w:t>
      </w:r>
      <w:proofErr w:type="spellEnd"/>
      <w:r w:rsidR="007A2141" w:rsidRPr="004229C1">
        <w:rPr>
          <w:rFonts w:ascii="Times New Roman" w:hAnsi="Times New Roman" w:cs="Times New Roman"/>
          <w:kern w:val="0"/>
          <w:lang w:val="uk-UA"/>
        </w:rPr>
        <w:t xml:space="preserve"> об'єднує </w:t>
      </w:r>
      <w:proofErr w:type="spellStart"/>
      <w:r w:rsidR="007A2141" w:rsidRPr="004229C1">
        <w:rPr>
          <w:rFonts w:ascii="Times New Roman" w:hAnsi="Times New Roman" w:cs="Times New Roman"/>
          <w:kern w:val="0"/>
          <w:lang w:val="uk-UA"/>
        </w:rPr>
        <w:t>членiв</w:t>
      </w:r>
      <w:proofErr w:type="spellEnd"/>
      <w:r w:rsidR="007A2141" w:rsidRPr="004229C1">
        <w:rPr>
          <w:rFonts w:ascii="Times New Roman" w:hAnsi="Times New Roman" w:cs="Times New Roman"/>
          <w:kern w:val="0"/>
          <w:lang w:val="uk-UA"/>
        </w:rPr>
        <w:t xml:space="preserve"> та </w:t>
      </w:r>
      <w:proofErr w:type="spellStart"/>
      <w:r w:rsidR="007A2141" w:rsidRPr="004229C1">
        <w:rPr>
          <w:rFonts w:ascii="Times New Roman" w:hAnsi="Times New Roman" w:cs="Times New Roman"/>
          <w:kern w:val="0"/>
          <w:lang w:val="uk-UA"/>
        </w:rPr>
        <w:t>користувачiв</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мiжнародної</w:t>
      </w:r>
      <w:proofErr w:type="spellEnd"/>
      <w:r w:rsidR="007A2141" w:rsidRPr="004229C1">
        <w:rPr>
          <w:rFonts w:ascii="Times New Roman" w:hAnsi="Times New Roman" w:cs="Times New Roman"/>
          <w:kern w:val="0"/>
          <w:lang w:val="uk-UA"/>
        </w:rPr>
        <w:t xml:space="preserve"> системи </w:t>
      </w:r>
      <w:proofErr w:type="spellStart"/>
      <w:r w:rsidR="007A2141" w:rsidRPr="004229C1">
        <w:rPr>
          <w:rFonts w:ascii="Times New Roman" w:hAnsi="Times New Roman" w:cs="Times New Roman"/>
          <w:kern w:val="0"/>
          <w:lang w:val="uk-UA"/>
        </w:rPr>
        <w:t>обмiну</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платiжними</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повiдомленнями</w:t>
      </w:r>
      <w:proofErr w:type="spellEnd"/>
      <w:r w:rsidR="007A2141" w:rsidRPr="004229C1">
        <w:rPr>
          <w:rFonts w:ascii="Times New Roman" w:hAnsi="Times New Roman" w:cs="Times New Roman"/>
          <w:kern w:val="0"/>
          <w:lang w:val="uk-UA"/>
        </w:rPr>
        <w:t xml:space="preserve"> S.W.I.F.T. та є незалежною </w:t>
      </w:r>
      <w:proofErr w:type="spellStart"/>
      <w:r w:rsidR="007A2141" w:rsidRPr="004229C1">
        <w:rPr>
          <w:rFonts w:ascii="Times New Roman" w:hAnsi="Times New Roman" w:cs="Times New Roman"/>
          <w:kern w:val="0"/>
          <w:lang w:val="uk-UA"/>
        </w:rPr>
        <w:t>асоцiацiєю</w:t>
      </w:r>
      <w:proofErr w:type="spellEnd"/>
      <w:r w:rsidR="007A2141" w:rsidRPr="004229C1">
        <w:rPr>
          <w:rFonts w:ascii="Times New Roman" w:hAnsi="Times New Roman" w:cs="Times New Roman"/>
          <w:kern w:val="0"/>
          <w:lang w:val="uk-UA"/>
        </w:rPr>
        <w:t xml:space="preserve"> з неприбутковим статусом; </w:t>
      </w:r>
      <w:proofErr w:type="spellStart"/>
      <w:r w:rsidR="007A2141" w:rsidRPr="004229C1">
        <w:rPr>
          <w:rFonts w:ascii="Times New Roman" w:hAnsi="Times New Roman" w:cs="Times New Roman"/>
          <w:kern w:val="0"/>
          <w:lang w:val="uk-UA"/>
        </w:rPr>
        <w:t>термiн</w:t>
      </w:r>
      <w:proofErr w:type="spellEnd"/>
      <w:r w:rsidR="007A2141" w:rsidRPr="004229C1">
        <w:rPr>
          <w:rFonts w:ascii="Times New Roman" w:hAnsi="Times New Roman" w:cs="Times New Roman"/>
          <w:kern w:val="0"/>
          <w:lang w:val="uk-UA"/>
        </w:rPr>
        <w:t xml:space="preserve"> </w:t>
      </w:r>
      <w:proofErr w:type="spellStart"/>
      <w:r w:rsidR="007A2141" w:rsidRPr="004229C1">
        <w:rPr>
          <w:rFonts w:ascii="Times New Roman" w:hAnsi="Times New Roman" w:cs="Times New Roman"/>
          <w:kern w:val="0"/>
          <w:lang w:val="uk-UA"/>
        </w:rPr>
        <w:t>участi</w:t>
      </w:r>
      <w:proofErr w:type="spellEnd"/>
      <w:r w:rsidR="007A2141" w:rsidRPr="004229C1">
        <w:rPr>
          <w:rFonts w:ascii="Times New Roman" w:hAnsi="Times New Roman" w:cs="Times New Roman"/>
          <w:kern w:val="0"/>
          <w:lang w:val="uk-UA"/>
        </w:rPr>
        <w:t xml:space="preserve"> не визначений; </w:t>
      </w:r>
      <w:hyperlink r:id="rId20" w:history="1">
        <w:r w:rsidRPr="004229C1">
          <w:rPr>
            <w:rStyle w:val="Hyperlink"/>
            <w:rFonts w:ascii="Times New Roman" w:hAnsi="Times New Roman" w:cs="Times New Roman"/>
            <w:kern w:val="0"/>
            <w:lang w:val="uk-UA"/>
          </w:rPr>
          <w:t>https://www.ukrswift.org/</w:t>
        </w:r>
      </w:hyperlink>
      <w:r w:rsidRPr="004229C1">
        <w:rPr>
          <w:rFonts w:ascii="Times New Roman" w:hAnsi="Times New Roman" w:cs="Times New Roman"/>
          <w:kern w:val="0"/>
          <w:lang w:val="uk-UA"/>
        </w:rPr>
        <w:t xml:space="preserve"> </w:t>
      </w:r>
    </w:p>
    <w:p w14:paraId="24F39D8F" w14:textId="77777777" w:rsidR="00A27A01" w:rsidRPr="004229C1" w:rsidRDefault="00A27A01" w:rsidP="00F53F0E">
      <w:pPr>
        <w:widowControl w:val="0"/>
        <w:autoSpaceDE w:val="0"/>
        <w:autoSpaceDN w:val="0"/>
        <w:adjustRightInd w:val="0"/>
        <w:spacing w:after="0" w:line="240" w:lineRule="auto"/>
        <w:jc w:val="both"/>
        <w:rPr>
          <w:rFonts w:ascii="Times New Roman" w:hAnsi="Times New Roman" w:cs="Times New Roman"/>
          <w:b/>
          <w:bCs/>
          <w:kern w:val="0"/>
          <w:lang w:val="uk-UA"/>
        </w:rPr>
      </w:pPr>
    </w:p>
    <w:p w14:paraId="6489E59F" w14:textId="77777777"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b/>
          <w:bCs/>
          <w:kern w:val="0"/>
          <w:lang w:val="uk-UA"/>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w:t>
      </w:r>
      <w:r w:rsidRPr="004229C1">
        <w:rPr>
          <w:rFonts w:ascii="Times New Roman" w:hAnsi="Times New Roman" w:cs="Times New Roman"/>
          <w:kern w:val="0"/>
          <w:lang w:val="uk-UA"/>
        </w:rPr>
        <w:t xml:space="preserve">. </w:t>
      </w:r>
    </w:p>
    <w:p w14:paraId="0AAF6D2D" w14:textId="77777777" w:rsidR="00A27A01" w:rsidRPr="004229C1" w:rsidRDefault="00A27A01"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7CAC13E6" w14:textId="2E04D6C1"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Банк не проводить спільну діяльність</w:t>
      </w:r>
      <w:r w:rsidR="00A27A01" w:rsidRPr="004229C1">
        <w:rPr>
          <w:rFonts w:ascii="Times New Roman" w:hAnsi="Times New Roman" w:cs="Times New Roman"/>
          <w:kern w:val="0"/>
          <w:lang w:val="uk-UA"/>
        </w:rPr>
        <w:t xml:space="preserve"> з іншими організаціями, підприємствами, установами протягом звітного періоду</w:t>
      </w:r>
      <w:r w:rsidRPr="004229C1">
        <w:rPr>
          <w:rFonts w:ascii="Times New Roman" w:hAnsi="Times New Roman" w:cs="Times New Roman"/>
          <w:kern w:val="0"/>
          <w:lang w:val="uk-UA"/>
        </w:rPr>
        <w:t>.</w:t>
      </w:r>
    </w:p>
    <w:p w14:paraId="16031363" w14:textId="77777777"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15BD6E9E" w14:textId="28D1710F"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14:paraId="0E74E91D" w14:textId="77777777" w:rsidR="00A27A01" w:rsidRPr="004229C1" w:rsidRDefault="00A27A01"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56D9464A" w14:textId="59D2A5D1"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Опис обраної облікової політики, що застосовується в Банку, наводиться в Примітках до Фінансової звітності Банку</w:t>
      </w:r>
      <w:r w:rsidR="00A27A01" w:rsidRPr="004229C1">
        <w:rPr>
          <w:rFonts w:ascii="Times New Roman" w:hAnsi="Times New Roman" w:cs="Times New Roman"/>
          <w:kern w:val="0"/>
          <w:lang w:val="uk-UA"/>
        </w:rPr>
        <w:t xml:space="preserve"> за звітній період</w:t>
      </w:r>
      <w:r w:rsidRPr="004229C1">
        <w:rPr>
          <w:rFonts w:ascii="Times New Roman" w:hAnsi="Times New Roman" w:cs="Times New Roman"/>
          <w:kern w:val="0"/>
          <w:lang w:val="uk-UA"/>
        </w:rPr>
        <w:t>,</w:t>
      </w:r>
      <w:r w:rsidR="00A27A01" w:rsidRPr="004229C1">
        <w:rPr>
          <w:rFonts w:ascii="Times New Roman" w:hAnsi="Times New Roman" w:cs="Times New Roman"/>
          <w:kern w:val="0"/>
          <w:lang w:val="uk-UA"/>
        </w:rPr>
        <w:t xml:space="preserve"> яка розміщується</w:t>
      </w:r>
      <w:r w:rsidRPr="004229C1">
        <w:rPr>
          <w:rFonts w:ascii="Times New Roman" w:hAnsi="Times New Roman" w:cs="Times New Roman"/>
          <w:kern w:val="0"/>
          <w:lang w:val="uk-UA"/>
        </w:rPr>
        <w:t xml:space="preserve"> на веб-сайті</w:t>
      </w:r>
      <w:r w:rsidR="00A27A01" w:rsidRPr="004229C1">
        <w:rPr>
          <w:rFonts w:ascii="Times New Roman" w:hAnsi="Times New Roman" w:cs="Times New Roman"/>
          <w:kern w:val="0"/>
          <w:lang w:val="uk-UA"/>
        </w:rPr>
        <w:t xml:space="preserve"> Банку </w:t>
      </w:r>
      <w:hyperlink r:id="rId21" w:history="1">
        <w:r w:rsidR="00A27A01" w:rsidRPr="004229C1">
          <w:rPr>
            <w:rStyle w:val="Hyperlink"/>
            <w:rFonts w:ascii="Times New Roman" w:hAnsi="Times New Roman" w:cs="Times New Roman"/>
            <w:kern w:val="0"/>
            <w:lang w:val="uk-UA"/>
          </w:rPr>
          <w:t>https://www.pravex.com.ua/o-banke/pro-nas/rejtingi-ta-zvitnist</w:t>
        </w:r>
      </w:hyperlink>
      <w:r w:rsidR="00A27A01" w:rsidRPr="004229C1">
        <w:rPr>
          <w:rFonts w:ascii="Times New Roman" w:hAnsi="Times New Roman" w:cs="Times New Roman"/>
          <w:kern w:val="0"/>
          <w:lang w:val="uk-UA"/>
        </w:rPr>
        <w:t xml:space="preserve"> </w:t>
      </w:r>
    </w:p>
    <w:p w14:paraId="0379FC9A" w14:textId="77777777"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09B16B21" w14:textId="6178C4DD" w:rsidR="007469BF" w:rsidRPr="004229C1" w:rsidRDefault="00B64BB1" w:rsidP="00B64BB1">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4</w:t>
      </w:r>
      <w:r w:rsidR="000B08A7" w:rsidRPr="004229C1">
        <w:rPr>
          <w:rFonts w:ascii="Times New Roman" w:hAnsi="Times New Roman" w:cs="Times New Roman"/>
          <w:b/>
          <w:bCs/>
          <w:kern w:val="0"/>
          <w:lang w:val="uk-UA"/>
        </w:rPr>
        <w:t xml:space="preserve">. Опис обраної </w:t>
      </w:r>
      <w:proofErr w:type="spellStart"/>
      <w:r w:rsidR="000B08A7" w:rsidRPr="004229C1">
        <w:rPr>
          <w:rFonts w:ascii="Times New Roman" w:hAnsi="Times New Roman" w:cs="Times New Roman"/>
          <w:b/>
          <w:bCs/>
          <w:kern w:val="0"/>
          <w:lang w:val="uk-UA"/>
        </w:rPr>
        <w:t>полiтики</w:t>
      </w:r>
      <w:proofErr w:type="spellEnd"/>
      <w:r w:rsidR="000B08A7" w:rsidRPr="004229C1">
        <w:rPr>
          <w:rFonts w:ascii="Times New Roman" w:hAnsi="Times New Roman" w:cs="Times New Roman"/>
          <w:b/>
          <w:bCs/>
          <w:kern w:val="0"/>
          <w:lang w:val="uk-UA"/>
        </w:rPr>
        <w:t xml:space="preserve"> щодо </w:t>
      </w:r>
      <w:proofErr w:type="spellStart"/>
      <w:r w:rsidR="000B08A7" w:rsidRPr="004229C1">
        <w:rPr>
          <w:rFonts w:ascii="Times New Roman" w:hAnsi="Times New Roman" w:cs="Times New Roman"/>
          <w:b/>
          <w:bCs/>
          <w:kern w:val="0"/>
          <w:lang w:val="uk-UA"/>
        </w:rPr>
        <w:t>фiнансування</w:t>
      </w:r>
      <w:proofErr w:type="spellEnd"/>
      <w:r w:rsidR="000B08A7" w:rsidRPr="004229C1">
        <w:rPr>
          <w:rFonts w:ascii="Times New Roman" w:hAnsi="Times New Roman" w:cs="Times New Roman"/>
          <w:b/>
          <w:bCs/>
          <w:kern w:val="0"/>
          <w:lang w:val="uk-UA"/>
        </w:rPr>
        <w:t xml:space="preserve"> </w:t>
      </w:r>
      <w:proofErr w:type="spellStart"/>
      <w:r w:rsidR="000B08A7" w:rsidRPr="004229C1">
        <w:rPr>
          <w:rFonts w:ascii="Times New Roman" w:hAnsi="Times New Roman" w:cs="Times New Roman"/>
          <w:b/>
          <w:bCs/>
          <w:kern w:val="0"/>
          <w:lang w:val="uk-UA"/>
        </w:rPr>
        <w:t>дiяльностi</w:t>
      </w:r>
      <w:proofErr w:type="spellEnd"/>
      <w:r w:rsidR="000B08A7" w:rsidRPr="004229C1">
        <w:rPr>
          <w:rFonts w:ascii="Times New Roman" w:hAnsi="Times New Roman" w:cs="Times New Roman"/>
          <w:b/>
          <w:bCs/>
          <w:kern w:val="0"/>
          <w:lang w:val="uk-UA"/>
        </w:rPr>
        <w:t xml:space="preserve"> особи, </w:t>
      </w:r>
      <w:proofErr w:type="spellStart"/>
      <w:r w:rsidR="000B08A7" w:rsidRPr="004229C1">
        <w:rPr>
          <w:rFonts w:ascii="Times New Roman" w:hAnsi="Times New Roman" w:cs="Times New Roman"/>
          <w:b/>
          <w:bCs/>
          <w:kern w:val="0"/>
          <w:lang w:val="uk-UA"/>
        </w:rPr>
        <w:t>достатнiсть</w:t>
      </w:r>
      <w:proofErr w:type="spellEnd"/>
      <w:r w:rsidR="000B08A7" w:rsidRPr="004229C1">
        <w:rPr>
          <w:rFonts w:ascii="Times New Roman" w:hAnsi="Times New Roman" w:cs="Times New Roman"/>
          <w:b/>
          <w:bCs/>
          <w:kern w:val="0"/>
          <w:lang w:val="uk-UA"/>
        </w:rPr>
        <w:t xml:space="preserve"> робочого </w:t>
      </w:r>
      <w:proofErr w:type="spellStart"/>
      <w:r w:rsidR="000B08A7" w:rsidRPr="004229C1">
        <w:rPr>
          <w:rFonts w:ascii="Times New Roman" w:hAnsi="Times New Roman" w:cs="Times New Roman"/>
          <w:b/>
          <w:bCs/>
          <w:kern w:val="0"/>
          <w:lang w:val="uk-UA"/>
        </w:rPr>
        <w:t>капiталу</w:t>
      </w:r>
      <w:proofErr w:type="spellEnd"/>
      <w:r w:rsidR="000B08A7" w:rsidRPr="004229C1">
        <w:rPr>
          <w:rFonts w:ascii="Times New Roman" w:hAnsi="Times New Roman" w:cs="Times New Roman"/>
          <w:b/>
          <w:bCs/>
          <w:kern w:val="0"/>
          <w:lang w:val="uk-UA"/>
        </w:rPr>
        <w:t xml:space="preserve"> для поточних потреб, </w:t>
      </w:r>
      <w:proofErr w:type="spellStart"/>
      <w:r w:rsidR="000B08A7" w:rsidRPr="004229C1">
        <w:rPr>
          <w:rFonts w:ascii="Times New Roman" w:hAnsi="Times New Roman" w:cs="Times New Roman"/>
          <w:b/>
          <w:bCs/>
          <w:kern w:val="0"/>
          <w:lang w:val="uk-UA"/>
        </w:rPr>
        <w:t>можливi</w:t>
      </w:r>
      <w:proofErr w:type="spellEnd"/>
      <w:r w:rsidR="000B08A7" w:rsidRPr="004229C1">
        <w:rPr>
          <w:rFonts w:ascii="Times New Roman" w:hAnsi="Times New Roman" w:cs="Times New Roman"/>
          <w:b/>
          <w:bCs/>
          <w:kern w:val="0"/>
          <w:lang w:val="uk-UA"/>
        </w:rPr>
        <w:t xml:space="preserve"> шляхи покращення </w:t>
      </w:r>
      <w:proofErr w:type="spellStart"/>
      <w:r w:rsidR="000B08A7" w:rsidRPr="004229C1">
        <w:rPr>
          <w:rFonts w:ascii="Times New Roman" w:hAnsi="Times New Roman" w:cs="Times New Roman"/>
          <w:b/>
          <w:bCs/>
          <w:kern w:val="0"/>
          <w:lang w:val="uk-UA"/>
        </w:rPr>
        <w:t>лiквiдностi</w:t>
      </w:r>
      <w:proofErr w:type="spellEnd"/>
      <w:r w:rsidR="000B08A7" w:rsidRPr="004229C1">
        <w:rPr>
          <w:rFonts w:ascii="Times New Roman" w:hAnsi="Times New Roman" w:cs="Times New Roman"/>
          <w:b/>
          <w:bCs/>
          <w:kern w:val="0"/>
          <w:lang w:val="uk-UA"/>
        </w:rPr>
        <w:t>.</w:t>
      </w:r>
    </w:p>
    <w:p w14:paraId="04615A97" w14:textId="77777777" w:rsidR="00A27A01" w:rsidRPr="004229C1" w:rsidRDefault="00A27A01">
      <w:pPr>
        <w:widowControl w:val="0"/>
        <w:autoSpaceDE w:val="0"/>
        <w:autoSpaceDN w:val="0"/>
        <w:adjustRightInd w:val="0"/>
        <w:spacing w:after="0" w:line="240" w:lineRule="auto"/>
        <w:jc w:val="both"/>
        <w:rPr>
          <w:rFonts w:ascii="Times New Roman" w:hAnsi="Times New Roman" w:cs="Times New Roman"/>
          <w:kern w:val="0"/>
          <w:lang w:val="uk-UA"/>
        </w:rPr>
      </w:pPr>
    </w:p>
    <w:p w14:paraId="30506DC1"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Акціонери Банку достатню увагу приділяють збільшенню капіталу, а саме збільшенню статутного капіталу як основної складової ланки капіталу. </w:t>
      </w:r>
    </w:p>
    <w:p w14:paraId="188F40FC"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bookmarkStart w:id="5" w:name="_Hlk187247932"/>
      <w:r w:rsidRPr="004229C1">
        <w:rPr>
          <w:rFonts w:ascii="Times New Roman" w:hAnsi="Times New Roman" w:cs="Times New Roman"/>
          <w:kern w:val="0"/>
          <w:lang w:val="uk-UA"/>
        </w:rPr>
        <w:t>З метою покращення фінансової стабільності Банк у 2024 році збільшив розмір капіталу на суму 1,1 млрд гривень за рахунок додаткових внесків Акціонера.</w:t>
      </w:r>
    </w:p>
    <w:bookmarkEnd w:id="5"/>
    <w:p w14:paraId="4ABCBC0B"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Капітал Банку формується з метою: </w:t>
      </w:r>
    </w:p>
    <w:p w14:paraId="4586CA30"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рентабельного використання власних коштів; </w:t>
      </w:r>
    </w:p>
    <w:p w14:paraId="5F076542"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покриття усіх можливих видів ризиків, які приймає на себе Банк; </w:t>
      </w:r>
    </w:p>
    <w:p w14:paraId="39C47C4E"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оптимізації структури активів і пасивів за строками залучення і розміщення коштів.</w:t>
      </w:r>
    </w:p>
    <w:p w14:paraId="41E18252"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 грудня 2023 року, відповідно до вимог НБУ, банки повинні утримувати норматив достатності (адекватності) регулятивного капіталу (Н2) на рівні не нижче 10% та норматив достатності основного капіталу (Н3) на рівні не нижче 7% по відношенню до активів, зважених з урахуванням ризику, розраховані відповідно до постанов НБУ.</w:t>
      </w:r>
    </w:p>
    <w:p w14:paraId="0351504B"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Починаючи з 05 серпня 2024 НБУ було запроваджено нову структуру регулятивного капіталу, відповідні вимоги до нормативних документів було </w:t>
      </w:r>
      <w:proofErr w:type="spellStart"/>
      <w:r w:rsidRPr="004229C1">
        <w:rPr>
          <w:rFonts w:ascii="Times New Roman" w:hAnsi="Times New Roman" w:cs="Times New Roman"/>
          <w:kern w:val="0"/>
          <w:lang w:val="uk-UA"/>
        </w:rPr>
        <w:t>внесено</w:t>
      </w:r>
      <w:proofErr w:type="spellEnd"/>
      <w:r w:rsidRPr="004229C1">
        <w:rPr>
          <w:rFonts w:ascii="Times New Roman" w:hAnsi="Times New Roman" w:cs="Times New Roman"/>
          <w:kern w:val="0"/>
          <w:lang w:val="uk-UA"/>
        </w:rPr>
        <w:t xml:space="preserve"> задля забезпечення своєчасного та повного переходу на новий розрахунок регулятивного капіталу та нормативів достатності капіталу.</w:t>
      </w:r>
    </w:p>
    <w:p w14:paraId="6182122E"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 грудня 2024 року, відповідно до вимог НБУ, банки повинні утримувати норматив достатності регулятивного капіталу (Н</w:t>
      </w:r>
      <w:r w:rsidRPr="004229C1">
        <w:rPr>
          <w:rFonts w:ascii="Times New Roman" w:hAnsi="Times New Roman" w:cs="Times New Roman"/>
          <w:kern w:val="0"/>
          <w:vertAlign w:val="subscript"/>
          <w:lang w:val="uk-UA"/>
        </w:rPr>
        <w:t>РК</w:t>
      </w:r>
      <w:r w:rsidRPr="004229C1">
        <w:rPr>
          <w:rFonts w:ascii="Times New Roman" w:hAnsi="Times New Roman" w:cs="Times New Roman"/>
          <w:kern w:val="0"/>
          <w:lang w:val="uk-UA"/>
        </w:rPr>
        <w:t>) на рівні не нижче 8,5%, норматив достатності капіталу 1 рівня (Н</w:t>
      </w:r>
      <w:r w:rsidRPr="004229C1">
        <w:rPr>
          <w:rFonts w:ascii="Times New Roman" w:hAnsi="Times New Roman" w:cs="Times New Roman"/>
          <w:b/>
          <w:bCs/>
          <w:kern w:val="0"/>
          <w:vertAlign w:val="subscript"/>
          <w:lang w:val="uk-UA"/>
        </w:rPr>
        <w:t>К1</w:t>
      </w:r>
      <w:r w:rsidRPr="004229C1">
        <w:rPr>
          <w:rFonts w:ascii="Times New Roman" w:hAnsi="Times New Roman" w:cs="Times New Roman"/>
          <w:kern w:val="0"/>
          <w:lang w:val="uk-UA"/>
        </w:rPr>
        <w:t>) на рівні не нижче 7,5% та норматив достатності основного капіталу 1 рівня (Н</w:t>
      </w:r>
      <w:r w:rsidRPr="004229C1">
        <w:rPr>
          <w:rFonts w:ascii="Times New Roman" w:hAnsi="Times New Roman" w:cs="Times New Roman"/>
          <w:b/>
          <w:bCs/>
          <w:kern w:val="0"/>
          <w:vertAlign w:val="subscript"/>
          <w:lang w:val="uk-UA"/>
        </w:rPr>
        <w:t>ОК1</w:t>
      </w:r>
      <w:r w:rsidRPr="004229C1">
        <w:rPr>
          <w:rFonts w:ascii="Times New Roman" w:hAnsi="Times New Roman" w:cs="Times New Roman"/>
          <w:kern w:val="0"/>
          <w:lang w:val="uk-UA"/>
        </w:rPr>
        <w:t>) на рівні не нижче 5,625% по відношенню до сукупної експозиції під ризиком, розрахованої відповідно до постанов НБУ.</w:t>
      </w:r>
    </w:p>
    <w:p w14:paraId="56004CBF"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 грудня 2024 та 31 грудня 2023 року Банк дотримувався вищезазначених нормативів:</w:t>
      </w:r>
    </w:p>
    <w:p w14:paraId="648D2AA7"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31.12.2024 норматив достатності регулятивного капіталу (Н</w:t>
      </w:r>
      <w:r w:rsidRPr="004229C1">
        <w:rPr>
          <w:rFonts w:ascii="Times New Roman" w:hAnsi="Times New Roman" w:cs="Times New Roman"/>
          <w:kern w:val="0"/>
          <w:vertAlign w:val="subscript"/>
          <w:lang w:val="uk-UA"/>
        </w:rPr>
        <w:t>РК</w:t>
      </w:r>
      <w:r w:rsidRPr="004229C1">
        <w:rPr>
          <w:rFonts w:ascii="Times New Roman" w:hAnsi="Times New Roman" w:cs="Times New Roman"/>
          <w:kern w:val="0"/>
          <w:lang w:val="uk-UA"/>
        </w:rPr>
        <w:t xml:space="preserve">) складає 38,80% та станом за 31.12.2023 норматив достатності регулятивного капіталу (Н2) складає 18,47%; </w:t>
      </w:r>
    </w:p>
    <w:p w14:paraId="16AA3EC2"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31.12.2024 норматив достатності капіталу 1 рівня (Н</w:t>
      </w:r>
      <w:r w:rsidRPr="004229C1">
        <w:rPr>
          <w:rFonts w:ascii="Times New Roman" w:hAnsi="Times New Roman" w:cs="Times New Roman"/>
          <w:kern w:val="0"/>
          <w:vertAlign w:val="subscript"/>
          <w:lang w:val="uk-UA"/>
        </w:rPr>
        <w:t>К1</w:t>
      </w:r>
      <w:r w:rsidRPr="004229C1">
        <w:rPr>
          <w:rFonts w:ascii="Times New Roman" w:hAnsi="Times New Roman" w:cs="Times New Roman"/>
          <w:kern w:val="0"/>
          <w:lang w:val="uk-UA"/>
        </w:rPr>
        <w:t>) складає 38,77%;</w:t>
      </w:r>
    </w:p>
    <w:p w14:paraId="1C365625"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31.12.2024 норматив достатності основного капіталу 1 рівня (Н</w:t>
      </w:r>
      <w:r w:rsidRPr="004229C1">
        <w:rPr>
          <w:rFonts w:ascii="Times New Roman" w:hAnsi="Times New Roman" w:cs="Times New Roman"/>
          <w:b/>
          <w:bCs/>
          <w:kern w:val="0"/>
          <w:vertAlign w:val="subscript"/>
          <w:lang w:val="uk-UA"/>
        </w:rPr>
        <w:t>ОК1</w:t>
      </w:r>
      <w:r w:rsidRPr="004229C1">
        <w:rPr>
          <w:rFonts w:ascii="Times New Roman" w:hAnsi="Times New Roman" w:cs="Times New Roman"/>
          <w:kern w:val="0"/>
          <w:lang w:val="uk-UA"/>
        </w:rPr>
        <w:t>) складає 38,77%;</w:t>
      </w:r>
    </w:p>
    <w:p w14:paraId="6B938FB9"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31.12.2023 норматив достатності основного капіталу (Н3) складає 16,90%.</w:t>
      </w:r>
    </w:p>
    <w:p w14:paraId="16FD9496"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Обсяг регулятивного капіталу на 31.12.2024 року становить </w:t>
      </w:r>
      <w:bookmarkStart w:id="6" w:name="_Hlk187946640"/>
      <w:r w:rsidRPr="004229C1">
        <w:rPr>
          <w:rFonts w:ascii="Times New Roman" w:hAnsi="Times New Roman" w:cs="Times New Roman"/>
          <w:kern w:val="0"/>
          <w:lang w:val="uk-UA"/>
        </w:rPr>
        <w:t>1 562 029</w:t>
      </w:r>
      <w:bookmarkEnd w:id="6"/>
      <w:r w:rsidRPr="004229C1">
        <w:rPr>
          <w:rFonts w:ascii="Times New Roman" w:hAnsi="Times New Roman" w:cs="Times New Roman"/>
          <w:kern w:val="0"/>
          <w:lang w:val="uk-UA"/>
        </w:rPr>
        <w:t xml:space="preserve"> тис. грн (31 грудня 2023 року:</w:t>
      </w:r>
      <w:r w:rsidRPr="004229C1" w:rsidDel="008466E8">
        <w:rPr>
          <w:rFonts w:ascii="Times New Roman" w:hAnsi="Times New Roman" w:cs="Times New Roman"/>
          <w:kern w:val="0"/>
          <w:lang w:val="uk-UA"/>
        </w:rPr>
        <w:t xml:space="preserve"> </w:t>
      </w:r>
      <w:r w:rsidRPr="004229C1">
        <w:rPr>
          <w:rFonts w:ascii="Times New Roman" w:hAnsi="Times New Roman" w:cs="Times New Roman"/>
          <w:kern w:val="0"/>
          <w:lang w:val="uk-UA"/>
        </w:rPr>
        <w:t xml:space="preserve">676 148 тис. грн). </w:t>
      </w:r>
    </w:p>
    <w:p w14:paraId="1939F305"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b/>
          <w:kern w:val="0"/>
          <w:lang w:val="uk-UA"/>
        </w:rPr>
      </w:pPr>
      <w:r w:rsidRPr="004229C1">
        <w:rPr>
          <w:rFonts w:ascii="Times New Roman" w:hAnsi="Times New Roman" w:cs="Times New Roman"/>
          <w:kern w:val="0"/>
          <w:lang w:val="uk-UA"/>
        </w:rPr>
        <w:t>Протягом 2024 року НБУ повністю змінив структуру регулятивного капіталу й починаючи із 05.08.2024 року регулятивний капітал Банку складається з основного капіталу 1 рівня (ОК1), додаткового капіталу 1 рівня (ДК1) та капіталу 2 рівня (К2). ОК1 уважається більш незмінним, і таким, що не підлягає передаванню, перерозподілу та повинен повністю покривати поточні збитки. ДК1 та К2 має менш постійний характер та його розмір піддається змінам.</w:t>
      </w:r>
    </w:p>
    <w:p w14:paraId="5F2CC6F4"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Станом за 31 грудня 2024 та 31 грудня 2023 року Банк дотримувався нормативів ліквідності:</w:t>
      </w:r>
    </w:p>
    <w:p w14:paraId="53D96B10"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LCR у всіх валютах: станом за 31.12.2024 значення складає 231,07%, ліміт становить &gt;100%; станом за 31.12.2023 складає 222,35% при ліміті &gt;100%;</w:t>
      </w:r>
    </w:p>
    <w:p w14:paraId="56ED1848"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LCR в іноземних валютах: станом за 31.12.2024 складає 800,05%, ліміт становить &gt;100%; станом за 31.12.2023 складає 663,10% при ліміті &gt;100%;</w:t>
      </w:r>
    </w:p>
    <w:p w14:paraId="60C96955" w14:textId="77777777" w:rsidR="005356BA" w:rsidRPr="004229C1" w:rsidRDefault="005356BA" w:rsidP="005356BA">
      <w:pPr>
        <w:widowControl w:val="0"/>
        <w:numPr>
          <w:ilvl w:val="0"/>
          <w:numId w:val="46"/>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NSFR у всіх валютах: станом за 31.12.2024 складає 144,67%, ліміт становить &gt;100%; станом за 31.12.2023 складає 200,90% при ліміті &gt;100%.</w:t>
      </w:r>
    </w:p>
    <w:p w14:paraId="29DAC04A"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Пруденційні нормативи ліквідності та капіталу, а також ліміти відкритої валютної позиції, розраховані відповідно до нормативних актів НБУ, виконуються Банком за 31.12.2024.</w:t>
      </w:r>
    </w:p>
    <w:p w14:paraId="480FABA0"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p>
    <w:p w14:paraId="1C3803AD"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Одним із головних ризиків Банку у 2024 році залишався зовнішній політичний ризик, пов’язаний із нападом </w:t>
      </w:r>
      <w:proofErr w:type="spellStart"/>
      <w:r w:rsidRPr="004229C1">
        <w:rPr>
          <w:rFonts w:ascii="Times New Roman" w:hAnsi="Times New Roman" w:cs="Times New Roman"/>
          <w:kern w:val="0"/>
          <w:lang w:val="uk-UA"/>
        </w:rPr>
        <w:t>росії</w:t>
      </w:r>
      <w:proofErr w:type="spellEnd"/>
      <w:r w:rsidRPr="004229C1">
        <w:rPr>
          <w:rFonts w:ascii="Times New Roman" w:hAnsi="Times New Roman" w:cs="Times New Roman"/>
          <w:kern w:val="0"/>
          <w:lang w:val="uk-UA"/>
        </w:rPr>
        <w:t xml:space="preserve"> на територію України. Банк зміг адаптуватися до умов тривалої війни: робота відділень відновлюється, поволі </w:t>
      </w:r>
      <w:proofErr w:type="spellStart"/>
      <w:r w:rsidRPr="004229C1">
        <w:rPr>
          <w:rFonts w:ascii="Times New Roman" w:hAnsi="Times New Roman" w:cs="Times New Roman"/>
          <w:kern w:val="0"/>
          <w:lang w:val="uk-UA"/>
        </w:rPr>
        <w:t>оптимізовується</w:t>
      </w:r>
      <w:proofErr w:type="spellEnd"/>
      <w:r w:rsidRPr="004229C1">
        <w:rPr>
          <w:rFonts w:ascii="Times New Roman" w:hAnsi="Times New Roman" w:cs="Times New Roman"/>
          <w:kern w:val="0"/>
          <w:lang w:val="uk-UA"/>
        </w:rPr>
        <w:t xml:space="preserve"> мережа та витрати на персонал. Викликом лишаються ризики </w:t>
      </w:r>
      <w:proofErr w:type="spellStart"/>
      <w:r w:rsidRPr="004229C1">
        <w:rPr>
          <w:rFonts w:ascii="Times New Roman" w:hAnsi="Times New Roman" w:cs="Times New Roman"/>
          <w:kern w:val="0"/>
          <w:lang w:val="uk-UA"/>
        </w:rPr>
        <w:t>блекаутів</w:t>
      </w:r>
      <w:proofErr w:type="spellEnd"/>
      <w:r w:rsidRPr="004229C1">
        <w:rPr>
          <w:rFonts w:ascii="Times New Roman" w:hAnsi="Times New Roman" w:cs="Times New Roman"/>
          <w:kern w:val="0"/>
          <w:lang w:val="uk-UA"/>
        </w:rPr>
        <w:t>, проте вже реалізовано проєкти для забезпечення безперервного надання послуг навіть за тривалої відсутності електропостачання, а посилення повітряної оборони на рівні держави частково знижує загрози значних руйнувань та тривалих перебоїв в електропостачанні. Основними факторами ризику лишаються наступні: втрати людських ресурсів та матеріальних цінностей через ведення повномасштабної війни; наявність наданих кредитів та розміщення їх застави в регіонах, де ведуться активні бойові дії.</w:t>
      </w:r>
    </w:p>
    <w:p w14:paraId="2BF1C290"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Станом за 31.12.2024 Банк має достатній рівень показників адекватності </w:t>
      </w:r>
      <w:proofErr w:type="spellStart"/>
      <w:r w:rsidRPr="004229C1">
        <w:rPr>
          <w:rFonts w:ascii="Times New Roman" w:hAnsi="Times New Roman" w:cs="Times New Roman"/>
          <w:kern w:val="0"/>
          <w:lang w:val="uk-UA"/>
        </w:rPr>
        <w:t>капiталу</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лiквiдностi</w:t>
      </w:r>
      <w:proofErr w:type="spellEnd"/>
      <w:r w:rsidRPr="004229C1">
        <w:rPr>
          <w:rFonts w:ascii="Times New Roman" w:hAnsi="Times New Roman" w:cs="Times New Roman"/>
          <w:kern w:val="0"/>
          <w:lang w:val="uk-UA"/>
        </w:rPr>
        <w:t xml:space="preserve">. В умовах повномасштабної війни, яка посилила </w:t>
      </w:r>
      <w:proofErr w:type="spellStart"/>
      <w:r w:rsidRPr="004229C1">
        <w:rPr>
          <w:rFonts w:ascii="Times New Roman" w:hAnsi="Times New Roman" w:cs="Times New Roman"/>
          <w:kern w:val="0"/>
          <w:lang w:val="uk-UA"/>
        </w:rPr>
        <w:t>нестабiльну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економiчну</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полiтичну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ситуацiї</w:t>
      </w:r>
      <w:proofErr w:type="spellEnd"/>
      <w:r w:rsidRPr="004229C1">
        <w:rPr>
          <w:rFonts w:ascii="Times New Roman" w:hAnsi="Times New Roman" w:cs="Times New Roman"/>
          <w:kern w:val="0"/>
          <w:lang w:val="uk-UA"/>
        </w:rPr>
        <w:t xml:space="preserve"> в </w:t>
      </w:r>
      <w:proofErr w:type="spellStart"/>
      <w:r w:rsidRPr="004229C1">
        <w:rPr>
          <w:rFonts w:ascii="Times New Roman" w:hAnsi="Times New Roman" w:cs="Times New Roman"/>
          <w:kern w:val="0"/>
          <w:lang w:val="uk-UA"/>
        </w:rPr>
        <w:t>країнi</w:t>
      </w:r>
      <w:proofErr w:type="spellEnd"/>
      <w:r w:rsidRPr="004229C1">
        <w:rPr>
          <w:rFonts w:ascii="Times New Roman" w:hAnsi="Times New Roman" w:cs="Times New Roman"/>
          <w:kern w:val="0"/>
          <w:lang w:val="uk-UA"/>
        </w:rPr>
        <w:t xml:space="preserve">, що в свою чергу призвело до </w:t>
      </w:r>
      <w:proofErr w:type="spellStart"/>
      <w:r w:rsidRPr="004229C1">
        <w:rPr>
          <w:rFonts w:ascii="Times New Roman" w:hAnsi="Times New Roman" w:cs="Times New Roman"/>
          <w:kern w:val="0"/>
          <w:lang w:val="uk-UA"/>
        </w:rPr>
        <w:t>стагнацiї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економiки</w:t>
      </w:r>
      <w:proofErr w:type="spellEnd"/>
      <w:r w:rsidRPr="004229C1">
        <w:rPr>
          <w:rFonts w:ascii="Times New Roman" w:hAnsi="Times New Roman" w:cs="Times New Roman"/>
          <w:kern w:val="0"/>
          <w:lang w:val="uk-UA"/>
        </w:rPr>
        <w:t xml:space="preserve">, Банк обрав консервативний </w:t>
      </w:r>
      <w:proofErr w:type="spellStart"/>
      <w:r w:rsidRPr="004229C1">
        <w:rPr>
          <w:rFonts w:ascii="Times New Roman" w:hAnsi="Times New Roman" w:cs="Times New Roman"/>
          <w:kern w:val="0"/>
          <w:lang w:val="uk-UA"/>
        </w:rPr>
        <w:t>пiдхiд</w:t>
      </w:r>
      <w:proofErr w:type="spellEnd"/>
      <w:r w:rsidRPr="004229C1">
        <w:rPr>
          <w:rFonts w:ascii="Times New Roman" w:hAnsi="Times New Roman" w:cs="Times New Roman"/>
          <w:kern w:val="0"/>
          <w:lang w:val="uk-UA"/>
        </w:rPr>
        <w:t xml:space="preserve"> до </w:t>
      </w:r>
      <w:proofErr w:type="spellStart"/>
      <w:r w:rsidRPr="004229C1">
        <w:rPr>
          <w:rFonts w:ascii="Times New Roman" w:hAnsi="Times New Roman" w:cs="Times New Roman"/>
          <w:kern w:val="0"/>
          <w:lang w:val="uk-UA"/>
        </w:rPr>
        <w:t>управлiння</w:t>
      </w:r>
      <w:proofErr w:type="spellEnd"/>
      <w:r w:rsidRPr="004229C1">
        <w:rPr>
          <w:rFonts w:ascii="Times New Roman" w:hAnsi="Times New Roman" w:cs="Times New Roman"/>
          <w:kern w:val="0"/>
          <w:lang w:val="uk-UA"/>
        </w:rPr>
        <w:t xml:space="preserve"> ризиками, що обумовлювався утриманням значного обсягу </w:t>
      </w:r>
      <w:proofErr w:type="spellStart"/>
      <w:r w:rsidRPr="004229C1">
        <w:rPr>
          <w:rFonts w:ascii="Times New Roman" w:hAnsi="Times New Roman" w:cs="Times New Roman"/>
          <w:kern w:val="0"/>
          <w:lang w:val="uk-UA"/>
        </w:rPr>
        <w:t>вiльних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коштiв</w:t>
      </w:r>
      <w:proofErr w:type="spellEnd"/>
      <w:r w:rsidRPr="004229C1">
        <w:rPr>
          <w:rFonts w:ascii="Times New Roman" w:hAnsi="Times New Roman" w:cs="Times New Roman"/>
          <w:kern w:val="0"/>
          <w:lang w:val="uk-UA"/>
        </w:rPr>
        <w:t xml:space="preserve"> для задоволення вимог </w:t>
      </w:r>
      <w:proofErr w:type="spellStart"/>
      <w:r w:rsidRPr="004229C1">
        <w:rPr>
          <w:rFonts w:ascii="Times New Roman" w:hAnsi="Times New Roman" w:cs="Times New Roman"/>
          <w:kern w:val="0"/>
          <w:lang w:val="uk-UA"/>
        </w:rPr>
        <w:t>клiєнтiв</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мiнiмiзацiї</w:t>
      </w:r>
      <w:proofErr w:type="spellEnd"/>
      <w:r w:rsidRPr="004229C1">
        <w:rPr>
          <w:rFonts w:ascii="Times New Roman" w:hAnsi="Times New Roman" w:cs="Times New Roman"/>
          <w:kern w:val="0"/>
          <w:lang w:val="uk-UA"/>
        </w:rPr>
        <w:t xml:space="preserve"> ризику </w:t>
      </w:r>
      <w:proofErr w:type="spellStart"/>
      <w:r w:rsidRPr="004229C1">
        <w:rPr>
          <w:rFonts w:ascii="Times New Roman" w:hAnsi="Times New Roman" w:cs="Times New Roman"/>
          <w:kern w:val="0"/>
          <w:lang w:val="uk-UA"/>
        </w:rPr>
        <w:t>лiквiдностi</w:t>
      </w:r>
      <w:proofErr w:type="spellEnd"/>
      <w:r w:rsidRPr="004229C1">
        <w:rPr>
          <w:rFonts w:ascii="Times New Roman" w:hAnsi="Times New Roman" w:cs="Times New Roman"/>
          <w:kern w:val="0"/>
          <w:lang w:val="uk-UA"/>
        </w:rPr>
        <w:t xml:space="preserve">. Тому, з метою дотримання </w:t>
      </w:r>
      <w:proofErr w:type="spellStart"/>
      <w:r w:rsidRPr="004229C1">
        <w:rPr>
          <w:rFonts w:ascii="Times New Roman" w:hAnsi="Times New Roman" w:cs="Times New Roman"/>
          <w:kern w:val="0"/>
          <w:lang w:val="uk-UA"/>
        </w:rPr>
        <w:t>показникiв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лiквiдностi</w:t>
      </w:r>
      <w:proofErr w:type="spellEnd"/>
      <w:r w:rsidRPr="004229C1">
        <w:rPr>
          <w:rFonts w:ascii="Times New Roman" w:hAnsi="Times New Roman" w:cs="Times New Roman"/>
          <w:kern w:val="0"/>
          <w:lang w:val="uk-UA"/>
        </w:rPr>
        <w:t xml:space="preserve"> на належному </w:t>
      </w:r>
      <w:proofErr w:type="spellStart"/>
      <w:r w:rsidRPr="004229C1">
        <w:rPr>
          <w:rFonts w:ascii="Times New Roman" w:hAnsi="Times New Roman" w:cs="Times New Roman"/>
          <w:kern w:val="0"/>
          <w:lang w:val="uk-UA"/>
        </w:rPr>
        <w:t>рiвнi</w:t>
      </w:r>
      <w:proofErr w:type="spellEnd"/>
      <w:r w:rsidRPr="004229C1">
        <w:rPr>
          <w:rFonts w:ascii="Times New Roman" w:hAnsi="Times New Roman" w:cs="Times New Roman"/>
          <w:kern w:val="0"/>
          <w:lang w:val="uk-UA"/>
        </w:rPr>
        <w:t xml:space="preserve"> та забезпечення </w:t>
      </w:r>
      <w:proofErr w:type="spellStart"/>
      <w:r w:rsidRPr="004229C1">
        <w:rPr>
          <w:rFonts w:ascii="Times New Roman" w:hAnsi="Times New Roman" w:cs="Times New Roman"/>
          <w:kern w:val="0"/>
          <w:lang w:val="uk-UA"/>
        </w:rPr>
        <w:t>фiнансування</w:t>
      </w:r>
      <w:proofErr w:type="spellEnd"/>
      <w:r w:rsidRPr="004229C1">
        <w:rPr>
          <w:rFonts w:ascii="Times New Roman" w:hAnsi="Times New Roman" w:cs="Times New Roman"/>
          <w:kern w:val="0"/>
          <w:lang w:val="uk-UA"/>
        </w:rPr>
        <w:t xml:space="preserve"> своєї </w:t>
      </w:r>
      <w:proofErr w:type="spellStart"/>
      <w:r w:rsidRPr="004229C1">
        <w:rPr>
          <w:rFonts w:ascii="Times New Roman" w:hAnsi="Times New Roman" w:cs="Times New Roman"/>
          <w:kern w:val="0"/>
          <w:lang w:val="uk-UA"/>
        </w:rPr>
        <w:t>дiяльностi</w:t>
      </w:r>
      <w:proofErr w:type="spellEnd"/>
      <w:r w:rsidRPr="004229C1">
        <w:rPr>
          <w:rFonts w:ascii="Times New Roman" w:hAnsi="Times New Roman" w:cs="Times New Roman"/>
          <w:kern w:val="0"/>
          <w:lang w:val="uk-UA"/>
        </w:rPr>
        <w:t xml:space="preserve">, Банк </w:t>
      </w:r>
      <w:proofErr w:type="spellStart"/>
      <w:r w:rsidRPr="004229C1">
        <w:rPr>
          <w:rFonts w:ascii="Times New Roman" w:hAnsi="Times New Roman" w:cs="Times New Roman"/>
          <w:kern w:val="0"/>
          <w:lang w:val="uk-UA"/>
        </w:rPr>
        <w:t>постiйно</w:t>
      </w:r>
      <w:proofErr w:type="spellEnd"/>
      <w:r w:rsidRPr="004229C1">
        <w:rPr>
          <w:rFonts w:ascii="Times New Roman" w:hAnsi="Times New Roman" w:cs="Times New Roman"/>
          <w:kern w:val="0"/>
          <w:lang w:val="uk-UA"/>
        </w:rPr>
        <w:t xml:space="preserve"> працює у напрямку:</w:t>
      </w:r>
    </w:p>
    <w:p w14:paraId="74C1E96C"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залучення депозитів та поточних рахунків від фізичних та юридичних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як в </w:t>
      </w:r>
      <w:proofErr w:type="spellStart"/>
      <w:r w:rsidRPr="004229C1">
        <w:rPr>
          <w:rFonts w:ascii="Times New Roman" w:hAnsi="Times New Roman" w:cs="Times New Roman"/>
          <w:kern w:val="0"/>
          <w:lang w:val="uk-UA"/>
        </w:rPr>
        <w:t>нацiональнiй</w:t>
      </w:r>
      <w:proofErr w:type="spellEnd"/>
      <w:r w:rsidRPr="004229C1">
        <w:rPr>
          <w:rFonts w:ascii="Times New Roman" w:hAnsi="Times New Roman" w:cs="Times New Roman"/>
          <w:kern w:val="0"/>
          <w:lang w:val="uk-UA"/>
        </w:rPr>
        <w:t xml:space="preserve">, так i в </w:t>
      </w:r>
      <w:proofErr w:type="spellStart"/>
      <w:r w:rsidRPr="004229C1">
        <w:rPr>
          <w:rFonts w:ascii="Times New Roman" w:hAnsi="Times New Roman" w:cs="Times New Roman"/>
          <w:kern w:val="0"/>
          <w:lang w:val="uk-UA"/>
        </w:rPr>
        <w:t>iноземнiй</w:t>
      </w:r>
      <w:proofErr w:type="spellEnd"/>
      <w:r w:rsidRPr="004229C1">
        <w:rPr>
          <w:rFonts w:ascii="Times New Roman" w:hAnsi="Times New Roman" w:cs="Times New Roman"/>
          <w:kern w:val="0"/>
          <w:lang w:val="uk-UA"/>
        </w:rPr>
        <w:t xml:space="preserve"> валютах, за рахунок впровадження нових </w:t>
      </w:r>
      <w:proofErr w:type="spellStart"/>
      <w:r w:rsidRPr="004229C1">
        <w:rPr>
          <w:rFonts w:ascii="Times New Roman" w:hAnsi="Times New Roman" w:cs="Times New Roman"/>
          <w:kern w:val="0"/>
          <w:lang w:val="uk-UA"/>
        </w:rPr>
        <w:t>продуктiв</w:t>
      </w:r>
      <w:proofErr w:type="spellEnd"/>
      <w:r w:rsidRPr="004229C1">
        <w:rPr>
          <w:rFonts w:ascii="Times New Roman" w:hAnsi="Times New Roman" w:cs="Times New Roman"/>
          <w:kern w:val="0"/>
          <w:lang w:val="uk-UA"/>
        </w:rPr>
        <w:t xml:space="preserve">, своєчасному перегляду </w:t>
      </w:r>
      <w:proofErr w:type="spellStart"/>
      <w:r w:rsidRPr="004229C1">
        <w:rPr>
          <w:rFonts w:ascii="Times New Roman" w:hAnsi="Times New Roman" w:cs="Times New Roman"/>
          <w:kern w:val="0"/>
          <w:lang w:val="uk-UA"/>
        </w:rPr>
        <w:t>вiдсоткових</w:t>
      </w:r>
      <w:proofErr w:type="spellEnd"/>
      <w:r w:rsidRPr="004229C1">
        <w:rPr>
          <w:rFonts w:ascii="Times New Roman" w:hAnsi="Times New Roman" w:cs="Times New Roman"/>
          <w:kern w:val="0"/>
          <w:lang w:val="uk-UA"/>
        </w:rPr>
        <w:t xml:space="preserve"> ставок з урахуванням умов ринку тощо;</w:t>
      </w:r>
    </w:p>
    <w:p w14:paraId="4E24CFA4"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збiльшення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кiлькостi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утримувачiв</w:t>
      </w:r>
      <w:proofErr w:type="spellEnd"/>
      <w:r w:rsidRPr="004229C1">
        <w:rPr>
          <w:rFonts w:ascii="Times New Roman" w:hAnsi="Times New Roman" w:cs="Times New Roman"/>
          <w:kern w:val="0"/>
          <w:lang w:val="uk-UA"/>
        </w:rPr>
        <w:t xml:space="preserve"> карток </w:t>
      </w:r>
      <w:proofErr w:type="spellStart"/>
      <w:r w:rsidRPr="004229C1">
        <w:rPr>
          <w:rFonts w:ascii="Times New Roman" w:hAnsi="Times New Roman" w:cs="Times New Roman"/>
          <w:kern w:val="0"/>
          <w:lang w:val="uk-UA"/>
        </w:rPr>
        <w:t>мiжнародних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платiжних</w:t>
      </w:r>
      <w:proofErr w:type="spellEnd"/>
      <w:r w:rsidRPr="004229C1">
        <w:rPr>
          <w:rFonts w:ascii="Times New Roman" w:hAnsi="Times New Roman" w:cs="Times New Roman"/>
          <w:kern w:val="0"/>
          <w:lang w:val="uk-UA"/>
        </w:rPr>
        <w:t xml:space="preserve"> систем за рахунок впровадження нових конкурентоспроможних </w:t>
      </w:r>
      <w:proofErr w:type="spellStart"/>
      <w:r w:rsidRPr="004229C1">
        <w:rPr>
          <w:rFonts w:ascii="Times New Roman" w:hAnsi="Times New Roman" w:cs="Times New Roman"/>
          <w:kern w:val="0"/>
          <w:lang w:val="uk-UA"/>
        </w:rPr>
        <w:t>продуктiв</w:t>
      </w:r>
      <w:proofErr w:type="spellEnd"/>
      <w:r w:rsidRPr="004229C1">
        <w:rPr>
          <w:rFonts w:ascii="Times New Roman" w:hAnsi="Times New Roman" w:cs="Times New Roman"/>
          <w:kern w:val="0"/>
          <w:lang w:val="uk-UA"/>
        </w:rPr>
        <w:t>;</w:t>
      </w:r>
    </w:p>
    <w:p w14:paraId="753EA6B5" w14:textId="77777777" w:rsidR="005356BA" w:rsidRPr="004229C1" w:rsidRDefault="005356BA" w:rsidP="005356BA">
      <w:pPr>
        <w:widowControl w:val="0"/>
        <w:numPr>
          <w:ilvl w:val="0"/>
          <w:numId w:val="45"/>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розробка та впровадження нових </w:t>
      </w:r>
      <w:proofErr w:type="spellStart"/>
      <w:r w:rsidRPr="004229C1">
        <w:rPr>
          <w:rFonts w:ascii="Times New Roman" w:hAnsi="Times New Roman" w:cs="Times New Roman"/>
          <w:kern w:val="0"/>
          <w:lang w:val="uk-UA"/>
        </w:rPr>
        <w:t>банкiвських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продуктiв</w:t>
      </w:r>
      <w:proofErr w:type="spellEnd"/>
      <w:r w:rsidRPr="004229C1">
        <w:rPr>
          <w:rFonts w:ascii="Times New Roman" w:hAnsi="Times New Roman" w:cs="Times New Roman"/>
          <w:kern w:val="0"/>
          <w:lang w:val="uk-UA"/>
        </w:rPr>
        <w:t xml:space="preserve"> з метою </w:t>
      </w:r>
      <w:proofErr w:type="spellStart"/>
      <w:r w:rsidRPr="004229C1">
        <w:rPr>
          <w:rFonts w:ascii="Times New Roman" w:hAnsi="Times New Roman" w:cs="Times New Roman"/>
          <w:kern w:val="0"/>
          <w:lang w:val="uk-UA"/>
        </w:rPr>
        <w:t>диверсифiкацiї</w:t>
      </w:r>
      <w:proofErr w:type="spellEnd"/>
      <w:r w:rsidRPr="004229C1">
        <w:rPr>
          <w:rFonts w:ascii="Times New Roman" w:hAnsi="Times New Roman" w:cs="Times New Roman"/>
          <w:kern w:val="0"/>
          <w:lang w:val="uk-UA"/>
        </w:rPr>
        <w:t xml:space="preserve"> джерел </w:t>
      </w:r>
      <w:proofErr w:type="spellStart"/>
      <w:r w:rsidRPr="004229C1">
        <w:rPr>
          <w:rFonts w:ascii="Times New Roman" w:hAnsi="Times New Roman" w:cs="Times New Roman"/>
          <w:kern w:val="0"/>
          <w:lang w:val="uk-UA"/>
        </w:rPr>
        <w:t>фiнансування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дiяльностi</w:t>
      </w:r>
      <w:proofErr w:type="spellEnd"/>
      <w:r w:rsidRPr="004229C1">
        <w:rPr>
          <w:rFonts w:ascii="Times New Roman" w:hAnsi="Times New Roman" w:cs="Times New Roman"/>
          <w:kern w:val="0"/>
          <w:lang w:val="uk-UA"/>
        </w:rPr>
        <w:t xml:space="preserve"> Банку.</w:t>
      </w:r>
    </w:p>
    <w:p w14:paraId="7F8E6FAD"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Ключовими фінансовими та нефінансовими ресурсами для досягнення цілей Банку є статутний капітал, грошові потоки, людський ресурс, інтелектуальний капітал, технологічні ресурси.</w:t>
      </w:r>
    </w:p>
    <w:p w14:paraId="165F3EDB"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В цілому, Банк не дивлячись на складні умови діяльності та постійні виклики протягом 2024 року, зміг забезпечити дотримання достатнього рівня ліквідності та платоспроможності.</w:t>
      </w:r>
    </w:p>
    <w:p w14:paraId="5EFB0689"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 2024 ліквідність Банку збільшилась здебільшого за рахунок збільшення капіталу, проте позитивний вплив спостерігається від залучення строкових коштів фізичних осіб, які дозволяють інвестувати у більш прибуткові інструменти. Додатково Банк інвестував у </w:t>
      </w:r>
      <w:proofErr w:type="spellStart"/>
      <w:r w:rsidRPr="004229C1">
        <w:rPr>
          <w:rFonts w:ascii="Times New Roman" w:hAnsi="Times New Roman" w:cs="Times New Roman"/>
          <w:kern w:val="0"/>
          <w:lang w:val="uk-UA"/>
        </w:rPr>
        <w:t>бенчмарк</w:t>
      </w:r>
      <w:proofErr w:type="spellEnd"/>
      <w:r w:rsidRPr="004229C1">
        <w:rPr>
          <w:rFonts w:ascii="Times New Roman" w:hAnsi="Times New Roman" w:cs="Times New Roman"/>
          <w:kern w:val="0"/>
          <w:lang w:val="uk-UA"/>
        </w:rPr>
        <w:t>-облігації внутрішньої державної позики, за рахунок яких є змога покривати частину обсягу обов’язкових резервів (</w:t>
      </w:r>
      <w:proofErr w:type="spellStart"/>
      <w:r w:rsidRPr="004229C1">
        <w:rPr>
          <w:rFonts w:ascii="Times New Roman" w:hAnsi="Times New Roman" w:cs="Times New Roman"/>
          <w:kern w:val="0"/>
          <w:lang w:val="uk-UA"/>
        </w:rPr>
        <w:t>бенчмарк</w:t>
      </w:r>
      <w:proofErr w:type="spellEnd"/>
      <w:r w:rsidRPr="004229C1">
        <w:rPr>
          <w:rFonts w:ascii="Times New Roman" w:hAnsi="Times New Roman" w:cs="Times New Roman"/>
          <w:kern w:val="0"/>
          <w:lang w:val="uk-UA"/>
        </w:rPr>
        <w:t>-ОВДП) і, таким чином, використовувати частину вільної ліквідності для генерування додаткових доходів.</w:t>
      </w:r>
    </w:p>
    <w:p w14:paraId="5F36B1B3"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Надлишкова ліквідність у національній валюті (гривні) значною мірою утилізувалася за рахунок купівлі депозитних сертифікатів (ДС) НБУ. Станом за 31 грудня 2024 року портфель ДС НБУ складав 3,05 млрд грн, включаючи портфель ДС із терміном погашення до 3 місяців – 1,2 млрд грн (станом за 31 грудня 2023 року –3,6 млрд грн, включаючи портфель ДС з терміном погашення до 3 місяців - 1 млрд грн).</w:t>
      </w:r>
    </w:p>
    <w:p w14:paraId="504C0A80"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Портфель ОВДП суттєво збільшився за рахунок інвестування у </w:t>
      </w:r>
      <w:proofErr w:type="spellStart"/>
      <w:r w:rsidRPr="004229C1">
        <w:rPr>
          <w:rFonts w:ascii="Times New Roman" w:hAnsi="Times New Roman" w:cs="Times New Roman"/>
          <w:kern w:val="0"/>
          <w:lang w:val="uk-UA"/>
        </w:rPr>
        <w:t>бенчмарк</w:t>
      </w:r>
      <w:proofErr w:type="spellEnd"/>
      <w:r w:rsidRPr="004229C1">
        <w:rPr>
          <w:rFonts w:ascii="Times New Roman" w:hAnsi="Times New Roman" w:cs="Times New Roman"/>
          <w:kern w:val="0"/>
          <w:lang w:val="uk-UA"/>
        </w:rPr>
        <w:t xml:space="preserve">-ОВДП, а також інші ОВДП і станом за 31 грудня 2024 року цей портфель складав 2,2 млрд грн (станом за 31 грудня 2023 року було сформовано портфель ОВДП у сумі 0,2 млрд грн). </w:t>
      </w:r>
    </w:p>
    <w:p w14:paraId="103BAE9D"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Щодо іноземної валюти, то додатково до утримання залишків на кореспондентських рахунках, здійснювалось розміщення у міжбанківські депозити Інтеза Санпаоло та придбання цінних паперів (далі – ЦП) у іноземних валютах (US </w:t>
      </w:r>
      <w:proofErr w:type="spellStart"/>
      <w:r w:rsidRPr="004229C1">
        <w:rPr>
          <w:rFonts w:ascii="Times New Roman" w:hAnsi="Times New Roman" w:cs="Times New Roman"/>
          <w:kern w:val="0"/>
          <w:lang w:val="uk-UA"/>
        </w:rPr>
        <w:t>Treasuries</w:t>
      </w:r>
      <w:proofErr w:type="spellEnd"/>
      <w:r w:rsidRPr="004229C1">
        <w:rPr>
          <w:rFonts w:ascii="Times New Roman" w:hAnsi="Times New Roman" w:cs="Times New Roman"/>
          <w:kern w:val="0"/>
          <w:lang w:val="uk-UA"/>
        </w:rPr>
        <w:t xml:space="preserve"> та цінні папери ЦП європейських урядів).</w:t>
      </w:r>
    </w:p>
    <w:p w14:paraId="5CA675E8" w14:textId="77777777" w:rsidR="005356BA" w:rsidRPr="004229C1" w:rsidRDefault="005356BA" w:rsidP="005356BA">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Зокрема, станом за 31 грудня 2024 року портфель цінних паперів у доларах США складав 30 млн </w:t>
      </w:r>
      <w:proofErr w:type="spellStart"/>
      <w:r w:rsidRPr="004229C1">
        <w:rPr>
          <w:rFonts w:ascii="Times New Roman" w:hAnsi="Times New Roman" w:cs="Times New Roman"/>
          <w:kern w:val="0"/>
          <w:lang w:val="uk-UA"/>
        </w:rPr>
        <w:t>дол</w:t>
      </w:r>
      <w:proofErr w:type="spellEnd"/>
      <w:r w:rsidRPr="004229C1">
        <w:rPr>
          <w:rFonts w:ascii="Times New Roman" w:hAnsi="Times New Roman" w:cs="Times New Roman"/>
          <w:kern w:val="0"/>
          <w:lang w:val="uk-UA"/>
        </w:rPr>
        <w:t xml:space="preserve"> США та у євро він був на рівні 10 млн євро (станом за 31 грудня 2023 року портфель цінних паперів у іноземних валютах складав 10 млн </w:t>
      </w:r>
      <w:proofErr w:type="spellStart"/>
      <w:r w:rsidRPr="004229C1">
        <w:rPr>
          <w:rFonts w:ascii="Times New Roman" w:hAnsi="Times New Roman" w:cs="Times New Roman"/>
          <w:kern w:val="0"/>
          <w:lang w:val="uk-UA"/>
        </w:rPr>
        <w:t>дол</w:t>
      </w:r>
      <w:proofErr w:type="spellEnd"/>
      <w:r w:rsidRPr="004229C1">
        <w:rPr>
          <w:rFonts w:ascii="Times New Roman" w:hAnsi="Times New Roman" w:cs="Times New Roman"/>
          <w:kern w:val="0"/>
          <w:lang w:val="uk-UA"/>
        </w:rPr>
        <w:t xml:space="preserve"> США та 10 млн євро). Таке збільшення портфелів цінних паперів у іноземних валютах справило позитивний вплив на нормативні показники вимірювання ризику ліквідності, оскільки було сформовано достатньо значний запас високоякісних ліквідних активів.</w:t>
      </w:r>
    </w:p>
    <w:p w14:paraId="470B6BBF" w14:textId="77777777" w:rsidR="005356BA" w:rsidRPr="004229C1" w:rsidRDefault="005356BA" w:rsidP="00B64BB1">
      <w:pPr>
        <w:widowControl w:val="0"/>
        <w:autoSpaceDE w:val="0"/>
        <w:autoSpaceDN w:val="0"/>
        <w:adjustRightInd w:val="0"/>
        <w:spacing w:after="0" w:line="240" w:lineRule="auto"/>
        <w:jc w:val="both"/>
        <w:rPr>
          <w:rFonts w:ascii="Times New Roman" w:hAnsi="Times New Roman" w:cs="Times New Roman"/>
          <w:b/>
          <w:bCs/>
          <w:kern w:val="0"/>
          <w:lang w:val="uk-UA"/>
        </w:rPr>
      </w:pPr>
    </w:p>
    <w:p w14:paraId="0952FA6C" w14:textId="6DE360F4"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5. Опис політики щодо досліджень та розробок, сума витрат на дослідження та розробку за звітний рік.</w:t>
      </w:r>
    </w:p>
    <w:p w14:paraId="6B064A42" w14:textId="77777777" w:rsidR="00A27A01" w:rsidRPr="004229C1" w:rsidRDefault="00A27A01" w:rsidP="00B64BB1">
      <w:pPr>
        <w:widowControl w:val="0"/>
        <w:autoSpaceDE w:val="0"/>
        <w:autoSpaceDN w:val="0"/>
        <w:adjustRightInd w:val="0"/>
        <w:spacing w:after="0" w:line="240" w:lineRule="auto"/>
        <w:jc w:val="both"/>
        <w:rPr>
          <w:rFonts w:ascii="Times New Roman" w:hAnsi="Times New Roman" w:cs="Times New Roman"/>
          <w:b/>
          <w:bCs/>
          <w:kern w:val="0"/>
          <w:lang w:val="uk-UA"/>
        </w:rPr>
      </w:pPr>
    </w:p>
    <w:p w14:paraId="779D3E8B" w14:textId="77777777" w:rsidR="00E37AD7" w:rsidRPr="004229C1" w:rsidRDefault="00CE0ABF" w:rsidP="00E37AD7">
      <w:pPr>
        <w:autoSpaceDE w:val="0"/>
        <w:autoSpaceDN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У звітному році Банк провів одну хвилю дослідження клієнтської думки щодо рівня сервісу у відділеннях та онлайн. За результатами опитування, 80% респондентів висловили повне задоволення обслуговуванням в Банку.</w:t>
      </w:r>
    </w:p>
    <w:p w14:paraId="45797754" w14:textId="54A27632" w:rsidR="00CE0ABF" w:rsidRPr="004229C1" w:rsidRDefault="00CE0ABF" w:rsidP="00E37AD7">
      <w:pPr>
        <w:autoSpaceDE w:val="0"/>
        <w:autoSpaceDN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Протягом усього періоду досліджень відгуків клієнтів спостерігається стабільна позитивна динаміка, що свідчить про високий рівень обслуговування.</w:t>
      </w:r>
    </w:p>
    <w:p w14:paraId="5FE3A9A1" w14:textId="77777777" w:rsidR="00CE0ABF" w:rsidRPr="004229C1" w:rsidRDefault="00CE0ABF" w:rsidP="00E37AD7">
      <w:pPr>
        <w:autoSpaceDE w:val="0"/>
        <w:autoSpaceDN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Банк поспілкувався майже з 3000 клієнтів, найбільше вони цінують сервіс саме у відділеннях, але також надають багато позитивних відгуків про якість сервісу у мобільному додатку PRAVEX ONLINE.</w:t>
      </w:r>
    </w:p>
    <w:p w14:paraId="3BEF76B5" w14:textId="77777777" w:rsidR="00CE0ABF" w:rsidRPr="004229C1" w:rsidRDefault="00CE0ABF" w:rsidP="00E37AD7">
      <w:pPr>
        <w:autoSpaceDE w:val="0"/>
        <w:autoSpaceDN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За підсумками дослідження індекс лояльності (NPS) зріс до 50, а індекс задоволеності (CSI) становить 9,24 із 10 можливих.</w:t>
      </w:r>
    </w:p>
    <w:p w14:paraId="6CA9C2D6" w14:textId="77777777" w:rsidR="00CE0ABF" w:rsidRPr="004229C1" w:rsidRDefault="00CE0ABF" w:rsidP="00E37AD7">
      <w:pPr>
        <w:autoSpaceDE w:val="0"/>
        <w:autoSpaceDN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Для безперервного моніторингу відгуків клієнтів також реалізовано сервіс зворотного зв’язку у відділеннях – якщо клієнт бажає висловити свою думку/ враження під час візиту у відділення, сканує QR-код та залишає відгук. Дана інформація поступає до відповідальних підрозділів Банку, які опрацьовують запит та надають зворотній зв’язок клієнту. У 2024 році отримано 100 відгуків, 90% з них позитивні.</w:t>
      </w:r>
    </w:p>
    <w:p w14:paraId="2B0E90BD" w14:textId="77777777" w:rsidR="00B64BB1" w:rsidRPr="004229C1" w:rsidRDefault="00B64BB1">
      <w:pPr>
        <w:widowControl w:val="0"/>
        <w:autoSpaceDE w:val="0"/>
        <w:autoSpaceDN w:val="0"/>
        <w:adjustRightInd w:val="0"/>
        <w:spacing w:after="0" w:line="240" w:lineRule="auto"/>
        <w:jc w:val="both"/>
        <w:rPr>
          <w:rFonts w:ascii="Times New Roman" w:hAnsi="Times New Roman" w:cs="Times New Roman"/>
          <w:kern w:val="0"/>
          <w:lang w:val="uk-UA"/>
        </w:rPr>
      </w:pPr>
    </w:p>
    <w:p w14:paraId="58137F32" w14:textId="77777777" w:rsidR="00B64BB1" w:rsidRPr="004229C1" w:rsidRDefault="00B64BB1" w:rsidP="00B64BB1">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6. Інформація щодо продуктів (товарів або послуг) особи:</w:t>
      </w:r>
    </w:p>
    <w:p w14:paraId="6143F448"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w:t>
      </w:r>
    </w:p>
    <w:p w14:paraId="1B208885" w14:textId="77777777" w:rsidR="00412EFD" w:rsidRPr="004229C1" w:rsidRDefault="00412EFD" w:rsidP="00B64BB1">
      <w:pPr>
        <w:widowControl w:val="0"/>
        <w:autoSpaceDE w:val="0"/>
        <w:autoSpaceDN w:val="0"/>
        <w:adjustRightInd w:val="0"/>
        <w:spacing w:after="0" w:line="240" w:lineRule="auto"/>
        <w:jc w:val="both"/>
        <w:rPr>
          <w:rFonts w:ascii="Times New Roman" w:hAnsi="Times New Roman" w:cs="Times New Roman"/>
          <w:b/>
          <w:bCs/>
          <w:kern w:val="0"/>
          <w:lang w:val="uk-UA"/>
        </w:rPr>
      </w:pPr>
    </w:p>
    <w:p w14:paraId="5756463B" w14:textId="77777777" w:rsidR="00E37AD7" w:rsidRPr="004229C1" w:rsidRDefault="00E37AD7" w:rsidP="00E37AD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 опис продуктів (товарів та/або послуг), які виробляє/надає особа;</w:t>
      </w:r>
    </w:p>
    <w:p w14:paraId="62C847D0" w14:textId="77777777" w:rsidR="00E37AD7" w:rsidRPr="004229C1" w:rsidRDefault="00E37AD7"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781F0A68" w14:textId="392530A7" w:rsidR="002341BA" w:rsidRPr="004229C1" w:rsidRDefault="002341BA" w:rsidP="00B64BB1">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Перелік продуктів Банку з детальним описом представлений на веб-сайті Банку</w:t>
      </w:r>
    </w:p>
    <w:p w14:paraId="07C8EEDB" w14:textId="525BCA9C" w:rsidR="002341BA" w:rsidRPr="004229C1" w:rsidRDefault="002341BA" w:rsidP="00B64BB1">
      <w:pPr>
        <w:widowControl w:val="0"/>
        <w:autoSpaceDE w:val="0"/>
        <w:autoSpaceDN w:val="0"/>
        <w:adjustRightInd w:val="0"/>
        <w:spacing w:after="0" w:line="240" w:lineRule="auto"/>
        <w:jc w:val="both"/>
        <w:rPr>
          <w:rFonts w:ascii="Times New Roman" w:hAnsi="Times New Roman" w:cs="Times New Roman"/>
          <w:kern w:val="0"/>
          <w:lang w:val="uk-UA"/>
        </w:rPr>
      </w:pPr>
      <w:hyperlink r:id="rId22" w:history="1">
        <w:r w:rsidRPr="004229C1">
          <w:rPr>
            <w:rStyle w:val="Hyperlink"/>
            <w:rFonts w:ascii="Times New Roman" w:hAnsi="Times New Roman" w:cs="Times New Roman"/>
            <w:kern w:val="0"/>
            <w:lang w:val="uk-UA"/>
          </w:rPr>
          <w:t>https://www.pravex.com.ua/</w:t>
        </w:r>
      </w:hyperlink>
    </w:p>
    <w:p w14:paraId="573578EA" w14:textId="77777777" w:rsidR="002341BA" w:rsidRPr="004229C1" w:rsidRDefault="002341BA" w:rsidP="00B64BB1">
      <w:pPr>
        <w:widowControl w:val="0"/>
        <w:autoSpaceDE w:val="0"/>
        <w:autoSpaceDN w:val="0"/>
        <w:adjustRightInd w:val="0"/>
        <w:spacing w:after="0" w:line="240" w:lineRule="auto"/>
        <w:jc w:val="both"/>
        <w:rPr>
          <w:rFonts w:ascii="Times New Roman" w:hAnsi="Times New Roman" w:cs="Times New Roman"/>
          <w:kern w:val="0"/>
          <w:lang w:val="uk-UA"/>
        </w:rPr>
      </w:pPr>
    </w:p>
    <w:p w14:paraId="1AB0C24C" w14:textId="4CE33D6C" w:rsidR="00CE0ABF" w:rsidRPr="004229C1" w:rsidRDefault="00CE0ABF" w:rsidP="00E37AD7">
      <w:pPr>
        <w:spacing w:after="0" w:line="240" w:lineRule="auto"/>
        <w:jc w:val="both"/>
        <w:rPr>
          <w:rFonts w:ascii="Times New Roman" w:eastAsia="Times New Roman" w:hAnsi="Times New Roman" w:cs="Times New Roman"/>
          <w:b/>
          <w:color w:val="000000" w:themeColor="text1"/>
          <w:lang w:val="uk-UA" w:eastAsia="ru-RU"/>
        </w:rPr>
      </w:pPr>
      <w:bookmarkStart w:id="7" w:name="_Hlk157174879"/>
      <w:r w:rsidRPr="004229C1">
        <w:rPr>
          <w:rFonts w:ascii="Times New Roman" w:eastAsia="Times New Roman" w:hAnsi="Times New Roman" w:cs="Times New Roman"/>
          <w:bCs/>
          <w:color w:val="000000" w:themeColor="text1"/>
          <w:lang w:val="uk-UA" w:eastAsia="ru-RU"/>
        </w:rPr>
        <w:t>У Ба</w:t>
      </w:r>
      <w:r w:rsidR="00E37AD7" w:rsidRPr="004229C1">
        <w:rPr>
          <w:rFonts w:ascii="Times New Roman" w:eastAsia="Times New Roman" w:hAnsi="Times New Roman" w:cs="Times New Roman"/>
          <w:bCs/>
          <w:color w:val="000000" w:themeColor="text1"/>
          <w:lang w:val="uk-UA" w:eastAsia="ru-RU"/>
        </w:rPr>
        <w:t>н</w:t>
      </w:r>
      <w:r w:rsidRPr="004229C1">
        <w:rPr>
          <w:rFonts w:ascii="Times New Roman" w:eastAsia="Times New Roman" w:hAnsi="Times New Roman" w:cs="Times New Roman"/>
          <w:bCs/>
          <w:color w:val="000000" w:themeColor="text1"/>
          <w:lang w:val="uk-UA" w:eastAsia="ru-RU"/>
        </w:rPr>
        <w:t>ку прозорі та вигідні умови обслуговування, зрозумілі продукти та простий механізм співпраці</w:t>
      </w:r>
      <w:r w:rsidRPr="004229C1">
        <w:rPr>
          <w:rFonts w:ascii="Times New Roman" w:eastAsia="Times New Roman" w:hAnsi="Times New Roman" w:cs="Times New Roman"/>
          <w:color w:val="000000" w:themeColor="text1"/>
          <w:lang w:val="uk-UA" w:eastAsia="ru-RU"/>
        </w:rPr>
        <w:t xml:space="preserve">. </w:t>
      </w:r>
    </w:p>
    <w:p w14:paraId="0A1A8C4B" w14:textId="77777777" w:rsidR="00CE0ABF" w:rsidRPr="004229C1" w:rsidRDefault="00CE0ABF" w:rsidP="00E37AD7">
      <w:pPr>
        <w:spacing w:after="0" w:line="240" w:lineRule="auto"/>
        <w:jc w:val="both"/>
        <w:rPr>
          <w:rFonts w:ascii="Times New Roman" w:eastAsia="Times New Roman" w:hAnsi="Times New Roman" w:cs="Times New Roman"/>
          <w:b/>
          <w:color w:val="000000" w:themeColor="text1"/>
          <w:lang w:val="uk-UA" w:eastAsia="ru-RU"/>
        </w:rPr>
      </w:pPr>
      <w:r w:rsidRPr="004229C1">
        <w:rPr>
          <w:rFonts w:ascii="Times New Roman" w:eastAsia="Times New Roman" w:hAnsi="Times New Roman" w:cs="Times New Roman"/>
          <w:color w:val="000000" w:themeColor="text1"/>
          <w:lang w:val="uk-UA" w:eastAsia="ru-RU"/>
        </w:rPr>
        <w:t xml:space="preserve">Основними послугами Банку є: </w:t>
      </w:r>
    </w:p>
    <w:p w14:paraId="3784D2F1" w14:textId="77777777" w:rsidR="00CE0ABF" w:rsidRPr="004229C1" w:rsidRDefault="00CE0ABF" w:rsidP="00E37AD7">
      <w:pPr>
        <w:numPr>
          <w:ilvl w:val="0"/>
          <w:numId w:val="28"/>
        </w:numPr>
        <w:spacing w:after="0" w:line="240" w:lineRule="auto"/>
        <w:ind w:left="0" w:firstLine="0"/>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 xml:space="preserve">приймання вкладів (депозитів) від юридичних і фізичних осіб; </w:t>
      </w:r>
    </w:p>
    <w:p w14:paraId="7D9D3C24" w14:textId="77777777" w:rsidR="00CE0ABF" w:rsidRPr="004229C1" w:rsidRDefault="00CE0ABF" w:rsidP="00E37AD7">
      <w:pPr>
        <w:numPr>
          <w:ilvl w:val="0"/>
          <w:numId w:val="28"/>
        </w:numPr>
        <w:spacing w:after="0" w:line="240" w:lineRule="auto"/>
        <w:ind w:left="0" w:firstLine="0"/>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відкриття та ведення поточних рахунків клієнтів – фізичних та юридичних осіб;</w:t>
      </w:r>
    </w:p>
    <w:p w14:paraId="1419340E" w14:textId="77777777" w:rsidR="00CE0ABF" w:rsidRPr="004229C1" w:rsidRDefault="00CE0ABF" w:rsidP="00E37AD7">
      <w:pPr>
        <w:numPr>
          <w:ilvl w:val="0"/>
          <w:numId w:val="28"/>
        </w:numPr>
        <w:spacing w:after="0" w:line="240" w:lineRule="auto"/>
        <w:ind w:left="0" w:firstLine="0"/>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видача кредитів домогосподарствам та суб’єктам господарювання;</w:t>
      </w:r>
    </w:p>
    <w:p w14:paraId="25EEC40C" w14:textId="77777777" w:rsidR="00CE0ABF" w:rsidRPr="004229C1" w:rsidRDefault="00CE0ABF" w:rsidP="00E37AD7">
      <w:pPr>
        <w:numPr>
          <w:ilvl w:val="0"/>
          <w:numId w:val="28"/>
        </w:numPr>
        <w:spacing w:after="0" w:line="240" w:lineRule="auto"/>
        <w:ind w:left="0" w:firstLine="0"/>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здійснення професійної діяльності на ринках капіталу.</w:t>
      </w:r>
    </w:p>
    <w:p w14:paraId="68032A64" w14:textId="77777777" w:rsidR="00DA6617" w:rsidRPr="004229C1" w:rsidRDefault="00DA6617" w:rsidP="00E37AD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bookmarkStart w:id="8" w:name="_Hlk192674918"/>
      <w:bookmarkEnd w:id="7"/>
      <w:r w:rsidRPr="004229C1">
        <w:rPr>
          <w:rFonts w:ascii="Times New Roman CYR" w:hAnsi="Times New Roman CYR" w:cs="Times New Roman CYR"/>
          <w:color w:val="000000" w:themeColor="text1"/>
          <w:kern w:val="0"/>
          <w:lang w:val="uk-UA"/>
        </w:rPr>
        <w:t>Основними продуктами для бізнес клієнтів сегменту Малого бізнесу залишаються:</w:t>
      </w:r>
    </w:p>
    <w:p w14:paraId="5C7E1EAF"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кредитні продукти, такі як овердрафт, кредит на фінансування оборотного капіталу, інвестиційний кредит, кредит з грошовим покриттям, а також кредити, що пропонуються клієнтам в рамках державної програми підтримки бізнесу «5-7-9»;</w:t>
      </w:r>
    </w:p>
    <w:p w14:paraId="6D6C100A"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депозитні продукти, які передбачають широку лінійку продуктів з різними варіантами розміщення та отримання відсотків (депозити з правом та без права дострокового розірвання, з виплатою відсотків щомісяця та в кінці терміну тощо);</w:t>
      </w:r>
    </w:p>
    <w:p w14:paraId="65B0421F"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інші фінансові продукти, такі як поточні рахунки (в національній та іноземній валютах), еквайринг, зарплатні проекти, корпоративні карти.</w:t>
      </w:r>
    </w:p>
    <w:p w14:paraId="35E58E15" w14:textId="7DDA2E06" w:rsidR="00DA6617" w:rsidRPr="004229C1" w:rsidRDefault="00DA6617" w:rsidP="00E37AD7">
      <w:pPr>
        <w:pStyle w:val="ListParagraph"/>
        <w:widowControl w:val="0"/>
        <w:autoSpaceDE w:val="0"/>
        <w:autoSpaceDN w:val="0"/>
        <w:adjustRightInd w:val="0"/>
        <w:spacing w:after="0" w:line="240" w:lineRule="auto"/>
        <w:ind w:left="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В 2024 році Банк продовжував працювати в напрямку вдосконалення продуктів та сервісів для  клієнтів фізичних осіб-підприємців та юридичних осіб, зокрема протягом року були реалізовані наступні ініціативи:</w:t>
      </w:r>
    </w:p>
    <w:p w14:paraId="428887E8"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реалізовано відкриття строкових депозитів та корпоративних карт для приватних підприємців онлайн в мобільному додатку PRAVEX ONLINE;</w:t>
      </w:r>
    </w:p>
    <w:p w14:paraId="0AD2A5AD"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реалізовано процес встановлення ділових відносин з новими клієнтами фізичними особами-підприємцями онлайн через мобільний додаток;</w:t>
      </w:r>
    </w:p>
    <w:p w14:paraId="4E2AA1E2"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впроваджено можливість подачі документів для встановлення ділових відносин та відкриття рахунку для юридичної особи онлайн (через сайт Банку);</w:t>
      </w:r>
    </w:p>
    <w:p w14:paraId="5491323E"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впроваджено можливість для юридичних осіб та приватних підприємців віддалено здійснити планову актуалізацію даних за допомогою КЕП;</w:t>
      </w:r>
    </w:p>
    <w:p w14:paraId="614157E0" w14:textId="77777777"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розпочато встановлення клієнтам нового покоління POS-терміналів з функцією програмного реєстратора розрахункових операцій;</w:t>
      </w:r>
    </w:p>
    <w:p w14:paraId="22D52709" w14:textId="40E72098" w:rsidR="00DA6617" w:rsidRPr="004229C1" w:rsidRDefault="00DA6617" w:rsidP="00E37AD7">
      <w:pPr>
        <w:pStyle w:val="ListParagraph"/>
        <w:widowControl w:val="0"/>
        <w:numPr>
          <w:ilvl w:val="0"/>
          <w:numId w:val="47"/>
        </w:numPr>
        <w:autoSpaceDE w:val="0"/>
        <w:autoSpaceDN w:val="0"/>
        <w:adjustRightInd w:val="0"/>
        <w:spacing w:after="0" w:line="240" w:lineRule="auto"/>
        <w:ind w:left="0" w:firstLine="0"/>
        <w:jc w:val="both"/>
        <w:rPr>
          <w:rFonts w:ascii="Times New Roman CYR" w:hAnsi="Times New Roman CYR" w:cs="Times New Roman CYR"/>
          <w:color w:val="000000" w:themeColor="text1"/>
          <w:kern w:val="0"/>
          <w:lang w:val="uk-UA"/>
        </w:rPr>
      </w:pPr>
      <w:r w:rsidRPr="004229C1">
        <w:rPr>
          <w:rFonts w:ascii="Times New Roman CYR" w:hAnsi="Times New Roman CYR" w:cs="Times New Roman CYR"/>
          <w:color w:val="000000" w:themeColor="text1"/>
          <w:kern w:val="0"/>
          <w:lang w:val="uk-UA"/>
        </w:rPr>
        <w:t>банк продовжував фінансувати клієнтів в рамках державної програми «5-7-9», а також запровадив власні програми підтримки бізнесу в енергетичному секторі, які надають можливість отримати фінансування як на поточну діяльність, так і на придбання енергетичного обладнання на вигідних умовах.</w:t>
      </w:r>
    </w:p>
    <w:p w14:paraId="66474501" w14:textId="77777777" w:rsidR="00DA6617" w:rsidRPr="004229C1" w:rsidRDefault="00DA6617" w:rsidP="000C6337">
      <w:pPr>
        <w:pStyle w:val="ListParagraph"/>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p>
    <w:bookmarkEnd w:id="8"/>
    <w:p w14:paraId="6BA1C1A0" w14:textId="77777777" w:rsidR="00E37AD7" w:rsidRPr="004229C1" w:rsidRDefault="00E37AD7" w:rsidP="00E37AD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4) загальна сума виручки;</w:t>
      </w:r>
    </w:p>
    <w:p w14:paraId="20B20AFA" w14:textId="77777777" w:rsidR="00112BA4" w:rsidRPr="004229C1" w:rsidRDefault="00112BA4" w:rsidP="00E37AD7">
      <w:pPr>
        <w:widowControl w:val="0"/>
        <w:autoSpaceDE w:val="0"/>
        <w:autoSpaceDN w:val="0"/>
        <w:adjustRightInd w:val="0"/>
        <w:spacing w:after="0" w:line="240" w:lineRule="auto"/>
        <w:jc w:val="both"/>
        <w:rPr>
          <w:rFonts w:ascii="Times New Roman" w:hAnsi="Times New Roman" w:cs="Times New Roman"/>
          <w:kern w:val="0"/>
          <w:u w:val="single"/>
          <w:lang w:val="uk-UA"/>
        </w:rPr>
      </w:pPr>
    </w:p>
    <w:p w14:paraId="0BCE4FAE"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За результатами діяльності у 2024 році Банк отримав збиток у розмірі 198 218 тис. грн, що на 113% більше, ніж у 2023 році (92 890 тис. грн). Це в основному було пов’язано із меншим обсягом розформованих резервів під кредитну заборгованість позичальників у зв’язку із покращенням платоспроможності клієнтів, що дозволило виконувати свої зобов’язання перед Банком своєчасно та платити достроково, але порівняно з 2023 роком обсяги скоротились. </w:t>
      </w:r>
    </w:p>
    <w:p w14:paraId="04D3750C"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Разом з тим, продовжували збільшуватися операційні витрати, що обумовлено зростанням рівня інфляції, подальшою девальвацією гривні, перегляду масштабів та ведення звичайного бізнесу, незважаючи на оптимізацію витрат за рахунок перегляду їх структури відповідно до нагальних потреб Банку, а також проведенням постійних переговорів з постачальниками щодо збереження ціни на поточному рівні.</w:t>
      </w:r>
    </w:p>
    <w:p w14:paraId="3F3DEEA1"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Нижчі обсяги розформованих резервів під кредитну заборгованість та незначне зростання операційних витрат Банку було частково компенсовано суттєвим зростанням операційного доходу за рахунок чистого процентного доходу, що було обумовлено зниженням вартості залучених ресурсів відповідно до монетарної політики НБУ. В той же час, комісійні та інші доходи збільшились як за рахунок розвитку бізнесу так і разових непередбачуваних доходів. </w:t>
      </w:r>
    </w:p>
    <w:p w14:paraId="45F862D7"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Загальні активи Банку у 2024 році порівняно з 2023 роком зросли на 11%, та становлять 12,1 млрд грн. Дане зростання було обумовлене збільшенням власного капіталу Банку за рахунок внесків Материнської компанії та обсягів залучених коштів від фізичних осіб.</w:t>
      </w:r>
    </w:p>
    <w:p w14:paraId="64F4AF77"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В частині балансу у Банка відбулися наступні зміни:</w:t>
      </w:r>
    </w:p>
    <w:p w14:paraId="19FC4E83" w14:textId="77777777" w:rsidR="00112BA4" w:rsidRPr="004229C1" w:rsidRDefault="00112BA4" w:rsidP="00112BA4">
      <w:pPr>
        <w:widowControl w:val="0"/>
        <w:numPr>
          <w:ilvl w:val="0"/>
          <w:numId w:val="48"/>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суттєве зростання обсягу портфелю цінних паперів з диверсифікацією фінансових інструментів, в тому числі за рахунок перегляду лімітів, як альтернативи розміщення вільної ліквідності в гривні та валюті і забезпечення </w:t>
      </w:r>
      <w:proofErr w:type="spellStart"/>
      <w:r w:rsidRPr="004229C1">
        <w:rPr>
          <w:rFonts w:ascii="Times New Roman" w:hAnsi="Times New Roman" w:cs="Times New Roman"/>
          <w:kern w:val="0"/>
          <w:lang w:val="uk-UA"/>
        </w:rPr>
        <w:t>безризикового</w:t>
      </w:r>
      <w:proofErr w:type="spellEnd"/>
      <w:r w:rsidRPr="004229C1">
        <w:rPr>
          <w:rFonts w:ascii="Times New Roman" w:hAnsi="Times New Roman" w:cs="Times New Roman"/>
          <w:kern w:val="0"/>
          <w:lang w:val="uk-UA"/>
        </w:rPr>
        <w:t xml:space="preserve"> процентного доходу;</w:t>
      </w:r>
    </w:p>
    <w:p w14:paraId="7F5CA8BD" w14:textId="77777777" w:rsidR="00112BA4" w:rsidRPr="004229C1" w:rsidRDefault="00112BA4" w:rsidP="00112BA4">
      <w:pPr>
        <w:widowControl w:val="0"/>
        <w:numPr>
          <w:ilvl w:val="0"/>
          <w:numId w:val="48"/>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збільшення об'єму депозитного портфелю клієнтів, обумовлене необхідністю залучення ресурсів для забезпечення стабільної ресурсної бази та достатнього рівня ліквідності;</w:t>
      </w:r>
    </w:p>
    <w:p w14:paraId="20C260DC" w14:textId="77777777" w:rsidR="00112BA4" w:rsidRPr="004229C1" w:rsidRDefault="00112BA4" w:rsidP="00112BA4">
      <w:pPr>
        <w:widowControl w:val="0"/>
        <w:numPr>
          <w:ilvl w:val="0"/>
          <w:numId w:val="48"/>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зростання кредитного портфелю за рахунок відновлення кредитування клієнтів, як корпоративного так і роздрібного сегментів, з фокусом на </w:t>
      </w:r>
      <w:proofErr w:type="spellStart"/>
      <w:r w:rsidRPr="004229C1">
        <w:rPr>
          <w:rFonts w:ascii="Times New Roman" w:hAnsi="Times New Roman" w:cs="Times New Roman"/>
          <w:kern w:val="0"/>
          <w:lang w:val="uk-UA"/>
        </w:rPr>
        <w:t>профайл</w:t>
      </w:r>
      <w:proofErr w:type="spellEnd"/>
      <w:r w:rsidRPr="004229C1">
        <w:rPr>
          <w:rFonts w:ascii="Times New Roman" w:hAnsi="Times New Roman" w:cs="Times New Roman"/>
          <w:kern w:val="0"/>
          <w:lang w:val="uk-UA"/>
        </w:rPr>
        <w:t xml:space="preserve"> клієнта, дохідність та безпосередньо вплив на регулятивний капітал через ризикові активи.</w:t>
      </w:r>
    </w:p>
    <w:p w14:paraId="5C0A97AF" w14:textId="77777777" w:rsidR="00112BA4" w:rsidRPr="004229C1" w:rsidRDefault="00112BA4" w:rsidP="00112BA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Щодо нефінансових показників діяльності Банку, то слід зазначити, що протягом звітного 2024 року кількість працюючих АТМ була сталою і становила 82 шт. Мережа відділень Банку протягом року скоротилась на 1 відділення, діяльність якого була зупинена, і на кінець року становила 39 працюючих відділень.</w:t>
      </w:r>
    </w:p>
    <w:p w14:paraId="7F003DB0"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46350FEC"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11) особливості стану розвитку галузі, в якій здійснює діяльність особа;</w:t>
      </w:r>
    </w:p>
    <w:p w14:paraId="288EA89B"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lang w:val="uk-UA"/>
        </w:rPr>
      </w:pPr>
    </w:p>
    <w:p w14:paraId="16120162" w14:textId="77777777" w:rsidR="000C6337" w:rsidRPr="004229C1" w:rsidRDefault="000C6337" w:rsidP="000C633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r w:rsidRPr="004229C1">
        <w:rPr>
          <w:rFonts w:ascii="Times New Roman" w:hAnsi="Times New Roman" w:cs="Times New Roman"/>
          <w:kern w:val="0"/>
          <w:lang w:val="uk-UA"/>
        </w:rPr>
        <w:t xml:space="preserve">АТ "ПРАВЕКС БАНК" здійснює свою діяльність у банківському секторі України, який перебуває під постійним наглядом та регуляторним впливом Національного банку України. У 2024 році розвиток галузі характеризувався поступовим зростанням обсягів кредитування, активізацією цифрових послуг, а також посиленим регуляторним контролем за капіталом, ліквідністю та ризик-менеджментом. Банківський сектор демонструє стабільність попри воєнні ризики та економічну нестабільність, зберігаючи здатність підтримувати клієнтів як у роздрібному, так і в корпоративному сегментах. </w:t>
      </w:r>
      <w:r w:rsidRPr="004229C1">
        <w:rPr>
          <w:rFonts w:ascii="Times New Roman CYR" w:hAnsi="Times New Roman CYR" w:cs="Times New Roman CYR"/>
          <w:color w:val="000000" w:themeColor="text1"/>
          <w:kern w:val="0"/>
          <w:lang w:val="uk-UA"/>
        </w:rPr>
        <w:t xml:space="preserve">Банківський сектор України у 2024 році продовжує демонструвати стійкість, адаптуючись до викликів війни та економічних змін. Продовжується </w:t>
      </w:r>
      <w:proofErr w:type="spellStart"/>
      <w:r w:rsidRPr="004229C1">
        <w:rPr>
          <w:rFonts w:ascii="Times New Roman CYR" w:hAnsi="Times New Roman CYR" w:cs="Times New Roman CYR"/>
          <w:color w:val="000000" w:themeColor="text1"/>
          <w:kern w:val="0"/>
          <w:lang w:val="uk-UA"/>
        </w:rPr>
        <w:t>цифровізація</w:t>
      </w:r>
      <w:proofErr w:type="spellEnd"/>
      <w:r w:rsidRPr="004229C1">
        <w:rPr>
          <w:rFonts w:ascii="Times New Roman CYR" w:hAnsi="Times New Roman CYR" w:cs="Times New Roman CYR"/>
          <w:color w:val="000000" w:themeColor="text1"/>
          <w:kern w:val="0"/>
          <w:lang w:val="uk-UA"/>
        </w:rPr>
        <w:t xml:space="preserve"> послуг та державна підтримка малого бізнесу через програми кредитування, а також активний розвиток онлайн-банкінгу.</w:t>
      </w:r>
    </w:p>
    <w:p w14:paraId="237E7AAD"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44FF4E2B"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12) опис технологій, які використовує особа у своїй діяльності;</w:t>
      </w:r>
    </w:p>
    <w:p w14:paraId="2B35AB74"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0BBDED83" w14:textId="77777777" w:rsidR="000C6337" w:rsidRPr="004229C1" w:rsidRDefault="000C6337" w:rsidP="000C633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r w:rsidRPr="004229C1">
        <w:rPr>
          <w:rFonts w:ascii="Times New Roman" w:hAnsi="Times New Roman" w:cs="Times New Roman"/>
          <w:kern w:val="0"/>
          <w:lang w:val="uk-UA"/>
        </w:rPr>
        <w:t xml:space="preserve">АТ "ПРАВЕКС БАНК" активно впроваджує цифрові інновації у своїй операційній діяльності. Банк використовує сучасні банківські ІТ-системи для автоматизації процесів обслуговування клієнтів, зокрема інтегровану CRM-платформу, мобільний та інтернет-банкінг для фізичних і юридичних осіб, а також системи інформаційної безпеки відповідно до міжнародних стандартів. Значна увага приділяється розвитку дистанційних каналів обслуговування та забезпеченню безперебійної роботи платіжних систем. </w:t>
      </w:r>
      <w:r w:rsidRPr="004229C1">
        <w:rPr>
          <w:rFonts w:ascii="Times New Roman CYR" w:hAnsi="Times New Roman CYR" w:cs="Times New Roman CYR"/>
          <w:color w:val="000000" w:themeColor="text1"/>
          <w:kern w:val="0"/>
          <w:lang w:val="uk-UA"/>
        </w:rPr>
        <w:t xml:space="preserve">Банк на постійній основі впроваджує сучасні технології та розвиває онлайн банкінг для бізнес клієнтів, працює над вдосконаленням процесів дистанційного встановлення ділових відносин з клієнтами та цифровим документообігом. </w:t>
      </w:r>
    </w:p>
    <w:p w14:paraId="27BA8FA5"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3E0CA8D4"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13) місце особи на ринку, на якому вона здійснює діяльність;</w:t>
      </w:r>
    </w:p>
    <w:p w14:paraId="77B035CB"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3D520B18" w14:textId="77777777" w:rsidR="000C6337" w:rsidRPr="004229C1" w:rsidRDefault="000C6337" w:rsidP="000C633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r w:rsidRPr="004229C1">
        <w:rPr>
          <w:rFonts w:ascii="Times New Roman" w:hAnsi="Times New Roman" w:cs="Times New Roman"/>
          <w:kern w:val="0"/>
          <w:lang w:val="uk-UA"/>
        </w:rPr>
        <w:t xml:space="preserve">АТ "ПРАВЕКС БАНК" є учасником банківської системи України з повною банківською ліцензією та функціонує як універсальний банк. Банк входить до складу міжнародної банківської групи Intesa Sanpaolo (Італія), що дозволяє йому дотримуватись високих європейських стандартів корпоративного управління, ризик-менеджменту та обслуговування клієнтів. За підсумками 2024 року Банк зберіг стабільну ринкову позицію в сегментах роздрібного обслуговування та обслуговування малого та середнього бізнесу. </w:t>
      </w:r>
      <w:r w:rsidRPr="004229C1">
        <w:rPr>
          <w:rFonts w:ascii="Times New Roman CYR" w:hAnsi="Times New Roman CYR" w:cs="Times New Roman CYR"/>
          <w:color w:val="000000" w:themeColor="text1"/>
          <w:kern w:val="0"/>
          <w:lang w:val="uk-UA"/>
        </w:rPr>
        <w:t>Банк в сегменті малого бізнесу пропонує своїм клієнтам комплексне обслуговування,  персоналізований сервіс та зручні фінансові рішення. Фокус робиться на оперативність обслуговування, надійність, цифрові сервіси та програми підтримки.</w:t>
      </w:r>
    </w:p>
    <w:p w14:paraId="00A3FEAF"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6F36F43A"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14) рівень конкуренція в галузі, основні конкуренти особи;</w:t>
      </w:r>
    </w:p>
    <w:p w14:paraId="42270D53"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3CA4CF8C" w14:textId="77777777" w:rsidR="000C6337" w:rsidRPr="004229C1" w:rsidRDefault="000C6337" w:rsidP="000C633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r w:rsidRPr="004229C1">
        <w:rPr>
          <w:rFonts w:ascii="Times New Roman" w:hAnsi="Times New Roman" w:cs="Times New Roman"/>
          <w:kern w:val="0"/>
          <w:lang w:val="uk-UA"/>
        </w:rPr>
        <w:t xml:space="preserve">Конкуренція в банківському секторі України залишається високою, особливо в сегментах іпотечного та споживчого кредитування, роздрібного обслуговування, а також у сфері цифрових фінансових послуг. Основними конкурентами АТ "ПРАВЕКС БАНК" є як великі українські банки з державною участю, так і інші банки з іноземним капіталом. Водночас завдяки підтримці групи Intesa Sanpaolo та адаптації кращих європейських практик, Банк зберігає конкурентоспроможність на ринку. </w:t>
      </w:r>
      <w:r w:rsidRPr="004229C1">
        <w:rPr>
          <w:rFonts w:ascii="Times New Roman CYR" w:hAnsi="Times New Roman CYR" w:cs="Times New Roman CYR"/>
          <w:color w:val="000000" w:themeColor="text1"/>
          <w:kern w:val="0"/>
          <w:lang w:val="uk-UA"/>
        </w:rPr>
        <w:t>Рівень конкуренції серед банків, що працюють з малим бізнесом, є досить високою, особливо з боку великих системних банків. Основними конкурентами є державні банки, міжнародні фінансові установи та комерційні банки, що активно розвивають цифрові продукти та кредитують бізнес.</w:t>
      </w:r>
    </w:p>
    <w:p w14:paraId="38A17AEB" w14:textId="19BB0228"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lang w:val="uk-UA"/>
        </w:rPr>
      </w:pPr>
    </w:p>
    <w:p w14:paraId="32D1F033" w14:textId="77777777" w:rsidR="000C6337" w:rsidRPr="004229C1" w:rsidRDefault="000C6337" w:rsidP="000C633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15) перспективні плани розвитку особи;</w:t>
      </w:r>
    </w:p>
    <w:p w14:paraId="61952C50"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1AA96FB7" w14:textId="77777777" w:rsidR="000C6337" w:rsidRPr="004229C1" w:rsidRDefault="000C6337" w:rsidP="000C6337">
      <w:pPr>
        <w:widowControl w:val="0"/>
        <w:autoSpaceDE w:val="0"/>
        <w:autoSpaceDN w:val="0"/>
        <w:adjustRightInd w:val="0"/>
        <w:spacing w:after="0" w:line="240" w:lineRule="auto"/>
        <w:jc w:val="both"/>
        <w:rPr>
          <w:rFonts w:ascii="Times New Roman CYR" w:hAnsi="Times New Roman CYR" w:cs="Times New Roman CYR"/>
          <w:color w:val="000000" w:themeColor="text1"/>
          <w:kern w:val="0"/>
          <w:lang w:val="uk-UA"/>
        </w:rPr>
      </w:pPr>
      <w:r w:rsidRPr="004229C1">
        <w:rPr>
          <w:rFonts w:ascii="Times New Roman" w:hAnsi="Times New Roman" w:cs="Times New Roman"/>
          <w:kern w:val="0"/>
          <w:lang w:val="uk-UA"/>
        </w:rPr>
        <w:t xml:space="preserve">Перспективні плани АТ "ПРАВЕКС БАНК" передбачають подальше посилення позицій у пріоритетних сегментах роздрібного бізнесу, малого та середнього підприємництва, розвиток цифрових каналів обслуговування, удосконалення внутрішніх процесів і ризик-менеджменту. Стратегія Банку орієнтована на стійкий розвиток, забезпечення фінансової стабільності, а також збереження довіри клієнтів і акціонера шляхом забезпечення прозорості, відповідальності та операційної ефективності. </w:t>
      </w:r>
      <w:r w:rsidRPr="004229C1">
        <w:rPr>
          <w:rFonts w:ascii="Times New Roman CYR" w:hAnsi="Times New Roman CYR" w:cs="Times New Roman CYR"/>
          <w:color w:val="000000" w:themeColor="text1"/>
          <w:kern w:val="0"/>
          <w:lang w:val="uk-UA"/>
        </w:rPr>
        <w:t xml:space="preserve">Банк планує розширювати цифрові послуги, автоматизувати процеси обслуговування клієнтів та розвивати свої кредитні та депозитні продукти. </w:t>
      </w:r>
    </w:p>
    <w:p w14:paraId="188EE05F" w14:textId="77777777" w:rsidR="00112BA4" w:rsidRPr="004229C1" w:rsidRDefault="00112BA4" w:rsidP="00112BA4">
      <w:pPr>
        <w:spacing w:after="0" w:line="240" w:lineRule="auto"/>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Банк продовжує реалізацію затвердженої стратегії, на яку був обраний курс розвитку універсального банку, зокрема діюча бізнес-модель Банку передбачає:</w:t>
      </w:r>
    </w:p>
    <w:p w14:paraId="3C424B91"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посилення управлінських стратегій та зміцнення позицій на корпоративному ринку для забезпечення стійкого росту і розвитку.</w:t>
      </w:r>
    </w:p>
    <w:p w14:paraId="5659D636"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розробка та впровадження спеціалізованих продуктів, орієнтованих на конкретні категорії клієнтів, що максимально задовольняють їхні потреби та вимоги.</w:t>
      </w:r>
    </w:p>
    <w:p w14:paraId="4F7BBBF8"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активна участь у державних програмах кредитування фізичних осіб, а також підтримка малого та середнього бізнесу для стимулювання економічного розвитку.</w:t>
      </w:r>
    </w:p>
    <w:p w14:paraId="58E6F794"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орієнтація на залучення заможних клієнтів і їх сімей, а також клієнтів середнього сегменту для зміцнення та розширення клієнтської бази.</w:t>
      </w:r>
    </w:p>
    <w:p w14:paraId="2FB4C47B"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розширення залучення клієнтів масового сегменту через залучення через залучення ЗКП проєктів та інноваційні методи он-</w:t>
      </w:r>
      <w:proofErr w:type="spellStart"/>
      <w:r w:rsidRPr="004229C1">
        <w:rPr>
          <w:rFonts w:ascii="Times New Roman" w:eastAsia="Calibri" w:hAnsi="Times New Roman" w:cs="Times New Roman"/>
          <w:color w:val="000000" w:themeColor="text1"/>
          <w:lang w:val="uk-UA"/>
        </w:rPr>
        <w:t>бордингу</w:t>
      </w:r>
      <w:proofErr w:type="spellEnd"/>
      <w:r w:rsidRPr="004229C1">
        <w:rPr>
          <w:rFonts w:ascii="Times New Roman" w:eastAsia="Calibri" w:hAnsi="Times New Roman" w:cs="Times New Roman"/>
          <w:color w:val="000000" w:themeColor="text1"/>
          <w:lang w:val="uk-UA"/>
        </w:rPr>
        <w:t>, зокрема дистанційне залучення.</w:t>
      </w:r>
    </w:p>
    <w:p w14:paraId="44E262BF"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 xml:space="preserve">підвищення прибутковості продуктів Банку та зростання обсягів </w:t>
      </w:r>
      <w:proofErr w:type="spellStart"/>
      <w:r w:rsidRPr="004229C1">
        <w:rPr>
          <w:rFonts w:ascii="Times New Roman" w:eastAsia="Calibri" w:hAnsi="Times New Roman" w:cs="Times New Roman"/>
          <w:color w:val="000000" w:themeColor="text1"/>
          <w:lang w:val="uk-UA"/>
        </w:rPr>
        <w:t>транзакційного</w:t>
      </w:r>
      <w:proofErr w:type="spellEnd"/>
      <w:r w:rsidRPr="004229C1">
        <w:rPr>
          <w:rFonts w:ascii="Times New Roman" w:eastAsia="Calibri" w:hAnsi="Times New Roman" w:cs="Times New Roman"/>
          <w:color w:val="000000" w:themeColor="text1"/>
          <w:lang w:val="uk-UA"/>
        </w:rPr>
        <w:t xml:space="preserve"> бізнесу через впровадження нових стратегій та ефективних бізнес-процесів.</w:t>
      </w:r>
    </w:p>
    <w:p w14:paraId="3BF31ED7"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 xml:space="preserve">подальший розвиток онлайн-сервісів та продуктів для всіх категорій клієнтів, активна </w:t>
      </w:r>
      <w:proofErr w:type="spellStart"/>
      <w:r w:rsidRPr="004229C1">
        <w:rPr>
          <w:rFonts w:ascii="Times New Roman" w:eastAsia="Calibri" w:hAnsi="Times New Roman" w:cs="Times New Roman"/>
          <w:color w:val="000000" w:themeColor="text1"/>
          <w:lang w:val="uk-UA"/>
        </w:rPr>
        <w:t>діджиталізація</w:t>
      </w:r>
      <w:proofErr w:type="spellEnd"/>
      <w:r w:rsidRPr="004229C1">
        <w:rPr>
          <w:rFonts w:ascii="Times New Roman" w:eastAsia="Calibri" w:hAnsi="Times New Roman" w:cs="Times New Roman"/>
          <w:color w:val="000000" w:themeColor="text1"/>
          <w:lang w:val="uk-UA"/>
        </w:rPr>
        <w:t xml:space="preserve"> процесів для підвищення ефективності взаємодії з клієнтами.</w:t>
      </w:r>
    </w:p>
    <w:p w14:paraId="78F2F5B2"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обґрунтоване збільшення пасивів як у роздрібному, так і в корпоративному сегменті, з акцентом на залучення довгострокових гривневих депозитів.</w:t>
      </w:r>
    </w:p>
    <w:p w14:paraId="1BC89478" w14:textId="77777777" w:rsidR="00112BA4" w:rsidRPr="004229C1" w:rsidRDefault="00112BA4" w:rsidP="00112BA4">
      <w:pPr>
        <w:numPr>
          <w:ilvl w:val="0"/>
          <w:numId w:val="41"/>
        </w:numPr>
        <w:spacing w:after="0" w:line="240" w:lineRule="auto"/>
        <w:ind w:left="0" w:firstLine="0"/>
        <w:contextualSpacing/>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зниження операційних та комісійних витрат за рахунок автоматизації та оптимізації бізнес-процесів, а також через ре-</w:t>
      </w:r>
      <w:proofErr w:type="spellStart"/>
      <w:r w:rsidRPr="004229C1">
        <w:rPr>
          <w:rFonts w:ascii="Times New Roman" w:eastAsia="Calibri" w:hAnsi="Times New Roman" w:cs="Times New Roman"/>
          <w:color w:val="000000" w:themeColor="text1"/>
          <w:lang w:val="uk-UA"/>
        </w:rPr>
        <w:t>прайсинг</w:t>
      </w:r>
      <w:proofErr w:type="spellEnd"/>
      <w:r w:rsidRPr="004229C1">
        <w:rPr>
          <w:rFonts w:ascii="Times New Roman" w:eastAsia="Calibri" w:hAnsi="Times New Roman" w:cs="Times New Roman"/>
          <w:color w:val="000000" w:themeColor="text1"/>
          <w:lang w:val="uk-UA"/>
        </w:rPr>
        <w:t xml:space="preserve"> банківських послуг.</w:t>
      </w:r>
    </w:p>
    <w:p w14:paraId="78F47B29" w14:textId="77777777" w:rsidR="00112BA4" w:rsidRPr="004229C1" w:rsidRDefault="00112BA4" w:rsidP="00112BA4">
      <w:pPr>
        <w:numPr>
          <w:ilvl w:val="0"/>
          <w:numId w:val="41"/>
        </w:numPr>
        <w:spacing w:after="0" w:line="240" w:lineRule="auto"/>
        <w:ind w:left="0" w:firstLine="0"/>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збільшення частки крос-продажів через інтеграцію інтернет-банкінгу з системою CRM для більш ефективного управління клієнтськими взаєминами та підвищення доходності.</w:t>
      </w:r>
    </w:p>
    <w:p w14:paraId="5625BD3E" w14:textId="77777777" w:rsidR="00112BA4" w:rsidRPr="004229C1" w:rsidRDefault="00112BA4" w:rsidP="00112BA4">
      <w:pPr>
        <w:spacing w:after="0" w:line="240" w:lineRule="auto"/>
        <w:jc w:val="both"/>
        <w:rPr>
          <w:rFonts w:ascii="Times New Roman" w:eastAsia="Calibri" w:hAnsi="Times New Roman" w:cs="Times New Roman"/>
          <w:b/>
          <w:color w:val="000000" w:themeColor="text1"/>
          <w:lang w:val="uk-UA"/>
        </w:rPr>
      </w:pPr>
      <w:r w:rsidRPr="004229C1">
        <w:rPr>
          <w:rFonts w:ascii="Times New Roman" w:eastAsia="Calibri" w:hAnsi="Times New Roman" w:cs="Times New Roman"/>
          <w:color w:val="000000" w:themeColor="text1"/>
          <w:lang w:val="uk-UA"/>
        </w:rPr>
        <w:t xml:space="preserve">Банк невпинно розвиває свої продукти та послуги, орієнтуючись на удосконалення процесів їх надання клієнтам, аби забезпечити високий рівень задоволення та відповідати вимогам сучасного ринку. Банк прагне бути надійним діловим партнером та ставиться </w:t>
      </w:r>
      <w:proofErr w:type="spellStart"/>
      <w:r w:rsidRPr="004229C1">
        <w:rPr>
          <w:rFonts w:ascii="Times New Roman" w:eastAsia="Times New Roman" w:hAnsi="Times New Roman" w:cs="Times New Roman"/>
          <w:color w:val="000000" w:themeColor="text1"/>
          <w:lang w:val="uk-UA" w:eastAsia="ru-RU"/>
        </w:rPr>
        <w:t>відповідально</w:t>
      </w:r>
      <w:proofErr w:type="spellEnd"/>
      <w:r w:rsidRPr="004229C1">
        <w:rPr>
          <w:rFonts w:ascii="Times New Roman" w:eastAsia="Calibri" w:hAnsi="Times New Roman" w:cs="Times New Roman"/>
          <w:color w:val="000000" w:themeColor="text1"/>
          <w:lang w:val="uk-UA"/>
        </w:rPr>
        <w:t xml:space="preserve"> до своїх клієнтів, а також веде постійний діалог з ними і підтримує відмінні ділові відносини.</w:t>
      </w:r>
    </w:p>
    <w:p w14:paraId="702C6A7E" w14:textId="77777777" w:rsidR="000C6337" w:rsidRPr="004229C1" w:rsidRDefault="000C6337"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4F13FB49" w14:textId="18A61942" w:rsidR="002341BA" w:rsidRPr="004229C1" w:rsidRDefault="002341BA" w:rsidP="00412EFD">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Більш детальна інформація розкрита у Звіті керівництва </w:t>
      </w:r>
      <w:r w:rsidR="00517DED" w:rsidRPr="004229C1">
        <w:rPr>
          <w:rFonts w:ascii="Times New Roman" w:hAnsi="Times New Roman" w:cs="Times New Roman"/>
          <w:kern w:val="0"/>
          <w:lang w:val="uk-UA"/>
        </w:rPr>
        <w:t>за 202</w:t>
      </w:r>
      <w:r w:rsidR="005E6C62" w:rsidRPr="004229C1">
        <w:rPr>
          <w:rFonts w:ascii="Times New Roman" w:hAnsi="Times New Roman" w:cs="Times New Roman"/>
          <w:kern w:val="0"/>
          <w:lang w:val="uk-UA"/>
        </w:rPr>
        <w:t>4</w:t>
      </w:r>
      <w:r w:rsidR="00517DED" w:rsidRPr="004229C1">
        <w:rPr>
          <w:rFonts w:ascii="Times New Roman" w:hAnsi="Times New Roman" w:cs="Times New Roman"/>
          <w:kern w:val="0"/>
          <w:lang w:val="uk-UA"/>
        </w:rPr>
        <w:t xml:space="preserve"> р.</w:t>
      </w:r>
      <w:r w:rsidRPr="004229C1">
        <w:rPr>
          <w:rFonts w:ascii="Times New Roman" w:hAnsi="Times New Roman" w:cs="Times New Roman"/>
          <w:kern w:val="0"/>
          <w:lang w:val="uk-UA"/>
        </w:rPr>
        <w:t xml:space="preserve"> , що </w:t>
      </w:r>
      <w:r w:rsidR="00517DED" w:rsidRPr="004229C1">
        <w:rPr>
          <w:rFonts w:ascii="Times New Roman" w:hAnsi="Times New Roman" w:cs="Times New Roman"/>
          <w:kern w:val="0"/>
          <w:lang w:val="uk-UA"/>
        </w:rPr>
        <w:t xml:space="preserve">розміщено </w:t>
      </w:r>
      <w:r w:rsidRPr="004229C1">
        <w:rPr>
          <w:rFonts w:ascii="Times New Roman" w:hAnsi="Times New Roman" w:cs="Times New Roman"/>
          <w:kern w:val="0"/>
          <w:lang w:val="uk-UA"/>
        </w:rPr>
        <w:t xml:space="preserve">на веб-сайті Банку </w:t>
      </w:r>
      <w:r w:rsidR="00517DED" w:rsidRPr="004229C1">
        <w:rPr>
          <w:rStyle w:val="Hyperlink"/>
          <w:rFonts w:ascii="Times New Roman" w:hAnsi="Times New Roman" w:cs="Times New Roman"/>
          <w:kern w:val="0"/>
          <w:lang w:val="uk-UA"/>
        </w:rPr>
        <w:t xml:space="preserve"> </w:t>
      </w:r>
      <w:hyperlink r:id="rId23" w:history="1">
        <w:r w:rsidR="00085CA8" w:rsidRPr="004229C1">
          <w:rPr>
            <w:rStyle w:val="Hyperlink"/>
            <w:rFonts w:ascii="Times New Roman" w:hAnsi="Times New Roman" w:cs="Times New Roman"/>
            <w:kern w:val="0"/>
            <w:lang w:val="uk-UA"/>
          </w:rPr>
          <w:t>https://www.pravex.com.ua/storage/files/annual-report-for-the-year-ukr-pravex-bank-2024_1749195756.pdf</w:t>
        </w:r>
      </w:hyperlink>
      <w:r w:rsidR="00517DED" w:rsidRPr="004229C1">
        <w:rPr>
          <w:rStyle w:val="Hyperlink"/>
          <w:rFonts w:ascii="Times New Roman" w:hAnsi="Times New Roman" w:cs="Times New Roman"/>
          <w:kern w:val="0"/>
          <w:lang w:val="uk-UA"/>
        </w:rPr>
        <w:t xml:space="preserve"> </w:t>
      </w:r>
    </w:p>
    <w:p w14:paraId="0A3A47FD" w14:textId="77777777" w:rsidR="002341BA" w:rsidRPr="004229C1" w:rsidRDefault="002341BA" w:rsidP="00412EFD">
      <w:pPr>
        <w:widowControl w:val="0"/>
        <w:autoSpaceDE w:val="0"/>
        <w:autoSpaceDN w:val="0"/>
        <w:adjustRightInd w:val="0"/>
        <w:spacing w:after="0" w:line="240" w:lineRule="auto"/>
        <w:jc w:val="both"/>
        <w:rPr>
          <w:rFonts w:ascii="Times New Roman" w:hAnsi="Times New Roman" w:cs="Times New Roman"/>
          <w:kern w:val="0"/>
          <w:lang w:val="uk-UA"/>
        </w:rPr>
      </w:pPr>
    </w:p>
    <w:p w14:paraId="79B46A1C" w14:textId="68E85587" w:rsidR="007469BF" w:rsidRPr="004229C1" w:rsidRDefault="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 xml:space="preserve">8. Опис </w:t>
      </w:r>
      <w:proofErr w:type="spellStart"/>
      <w:r w:rsidRPr="004229C1">
        <w:rPr>
          <w:rFonts w:ascii="Times New Roman" w:hAnsi="Times New Roman" w:cs="Times New Roman"/>
          <w:b/>
          <w:bCs/>
          <w:kern w:val="0"/>
          <w:lang w:val="uk-UA"/>
        </w:rPr>
        <w:t>ризикiв</w:t>
      </w:r>
      <w:proofErr w:type="spellEnd"/>
      <w:r w:rsidRPr="004229C1">
        <w:rPr>
          <w:rFonts w:ascii="Times New Roman" w:hAnsi="Times New Roman" w:cs="Times New Roman"/>
          <w:b/>
          <w:bCs/>
          <w:kern w:val="0"/>
          <w:lang w:val="uk-UA"/>
        </w:rPr>
        <w:t xml:space="preserve">, як </w:t>
      </w:r>
      <w:proofErr w:type="spellStart"/>
      <w:r w:rsidRPr="004229C1">
        <w:rPr>
          <w:rFonts w:ascii="Times New Roman" w:hAnsi="Times New Roman" w:cs="Times New Roman"/>
          <w:b/>
          <w:bCs/>
          <w:kern w:val="0"/>
          <w:lang w:val="uk-UA"/>
        </w:rPr>
        <w:t>притаманнi</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дiяльностi</w:t>
      </w:r>
      <w:proofErr w:type="spellEnd"/>
      <w:r w:rsidRPr="004229C1">
        <w:rPr>
          <w:rFonts w:ascii="Times New Roman" w:hAnsi="Times New Roman" w:cs="Times New Roman"/>
          <w:b/>
          <w:bCs/>
          <w:kern w:val="0"/>
          <w:lang w:val="uk-UA"/>
        </w:rPr>
        <w:t xml:space="preserve"> особи, </w:t>
      </w:r>
      <w:proofErr w:type="spellStart"/>
      <w:r w:rsidRPr="004229C1">
        <w:rPr>
          <w:rFonts w:ascii="Times New Roman" w:hAnsi="Times New Roman" w:cs="Times New Roman"/>
          <w:b/>
          <w:bCs/>
          <w:kern w:val="0"/>
          <w:lang w:val="uk-UA"/>
        </w:rPr>
        <w:t>пiдходи</w:t>
      </w:r>
      <w:proofErr w:type="spellEnd"/>
      <w:r w:rsidRPr="004229C1">
        <w:rPr>
          <w:rFonts w:ascii="Times New Roman" w:hAnsi="Times New Roman" w:cs="Times New Roman"/>
          <w:b/>
          <w:bCs/>
          <w:kern w:val="0"/>
          <w:lang w:val="uk-UA"/>
        </w:rPr>
        <w:t xml:space="preserve"> до </w:t>
      </w:r>
      <w:proofErr w:type="spellStart"/>
      <w:r w:rsidRPr="004229C1">
        <w:rPr>
          <w:rFonts w:ascii="Times New Roman" w:hAnsi="Times New Roman" w:cs="Times New Roman"/>
          <w:b/>
          <w:bCs/>
          <w:kern w:val="0"/>
          <w:lang w:val="uk-UA"/>
        </w:rPr>
        <w:t>управлiння</w:t>
      </w:r>
      <w:proofErr w:type="spellEnd"/>
      <w:r w:rsidRPr="004229C1">
        <w:rPr>
          <w:rFonts w:ascii="Times New Roman" w:hAnsi="Times New Roman" w:cs="Times New Roman"/>
          <w:b/>
          <w:bCs/>
          <w:kern w:val="0"/>
          <w:lang w:val="uk-UA"/>
        </w:rPr>
        <w:t xml:space="preserve"> ризиками, заходи особи щодо зменшення впливу </w:t>
      </w:r>
      <w:proofErr w:type="spellStart"/>
      <w:r w:rsidRPr="004229C1">
        <w:rPr>
          <w:rFonts w:ascii="Times New Roman" w:hAnsi="Times New Roman" w:cs="Times New Roman"/>
          <w:b/>
          <w:bCs/>
          <w:kern w:val="0"/>
          <w:lang w:val="uk-UA"/>
        </w:rPr>
        <w:t>ризикiв</w:t>
      </w:r>
      <w:proofErr w:type="spellEnd"/>
      <w:r w:rsidRPr="004229C1">
        <w:rPr>
          <w:rFonts w:ascii="Times New Roman" w:hAnsi="Times New Roman" w:cs="Times New Roman"/>
          <w:b/>
          <w:bCs/>
          <w:kern w:val="0"/>
          <w:lang w:val="uk-UA"/>
        </w:rPr>
        <w:t xml:space="preserve">. </w:t>
      </w:r>
    </w:p>
    <w:p w14:paraId="3A5D08AE" w14:textId="77777777" w:rsidR="002341BA" w:rsidRPr="004229C1" w:rsidRDefault="002341BA">
      <w:pPr>
        <w:widowControl w:val="0"/>
        <w:autoSpaceDE w:val="0"/>
        <w:autoSpaceDN w:val="0"/>
        <w:adjustRightInd w:val="0"/>
        <w:spacing w:after="0" w:line="240" w:lineRule="auto"/>
        <w:jc w:val="both"/>
        <w:rPr>
          <w:rFonts w:ascii="Times New Roman" w:hAnsi="Times New Roman" w:cs="Times New Roman"/>
          <w:kern w:val="0"/>
          <w:lang w:val="uk-UA"/>
        </w:rPr>
      </w:pPr>
    </w:p>
    <w:p w14:paraId="01DB97D6"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bookmarkStart w:id="9" w:name="_Hlk187251114"/>
      <w:r w:rsidRPr="004229C1">
        <w:rPr>
          <w:rFonts w:ascii="Times New Roman" w:eastAsia="Calibri" w:hAnsi="Times New Roman" w:cs="Times New Roman"/>
          <w:lang w:val="uk-UA"/>
        </w:rPr>
        <w:t>З метою покращення фінансової стійкості Банк у 2024 році збільшив розмір капіталу на суму 1,1 млрд гривень за рахунок додаткових внесків Акціонера.</w:t>
      </w:r>
    </w:p>
    <w:p w14:paraId="605CA8E8"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Стратегічне рішення Акціонера справило суттєвий позитивний вплив на нормативи капіталу Банку, підтримуючи ліквідність, фінансову стабільність та надійність установи для усіх зацікавлених сторін.</w:t>
      </w:r>
    </w:p>
    <w:p w14:paraId="5DC8C704"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І також це посилює здатність протистояти ризикам, на які наражається Банк та його клієнти в умовах повномасштабного вторгнення.</w:t>
      </w:r>
    </w:p>
    <w:bookmarkEnd w:id="9"/>
    <w:p w14:paraId="7A87C329"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 xml:space="preserve">Банк здійснює управління ризиками за допомогою системи управління ризиками, яка є  комплексною, адекватною та ефективною. Система управління ризиками створювалась з урахуванням особливостей діяльності, бізнес-моделі, характеру та обсягів операцій, профілю ризику, чинного законодавства України, нормативних актів (та рекомендацій) НБУ, кращих практик, внутрішніх положень, інструкцій Материнської компанії та Банку. </w:t>
      </w:r>
    </w:p>
    <w:p w14:paraId="32BC37BB"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Система управління ризиками забезпечує безперервний аналіз ризиків з метою досягнення оптимальної рівноваги між ризик-апетитами, показниками плану відновлення діяльності, величиною внутрішнього капіталу, обсягу внутрішньої ліквідності та бізнес-стратегією, удосконалення процесу прийняття своєчасних та адекватних управлінських рішень щодо виникаючих ризиків та їх пом’якшення, зменшення збитків шляхом контролю співвідношення витрат на управління ризиками та витрат, які можуть бути понесені внаслідок впливу таких ризиків, забезпечення функціонування ефективного процесу управління ризиками чіткого розмежування функцій та завдань всіх підрозділів Банку із застосуванням моделі трьох ліній захисту.</w:t>
      </w:r>
    </w:p>
    <w:p w14:paraId="79B2C81D"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 xml:space="preserve">Відповідно до вимог статті 44 Закону України «Про банки i </w:t>
      </w:r>
      <w:proofErr w:type="spellStart"/>
      <w:r w:rsidRPr="004229C1">
        <w:rPr>
          <w:rFonts w:ascii="Times New Roman" w:eastAsia="Calibri" w:hAnsi="Times New Roman" w:cs="Times New Roman"/>
          <w:lang w:val="uk-UA"/>
        </w:rPr>
        <w:t>банкiвську</w:t>
      </w:r>
      <w:proofErr w:type="spellEnd"/>
      <w:r w:rsidRPr="004229C1">
        <w:rPr>
          <w:rFonts w:ascii="Times New Roman" w:eastAsia="Calibri" w:hAnsi="Times New Roman" w:cs="Times New Roman"/>
          <w:lang w:val="uk-UA"/>
        </w:rPr>
        <w:t xml:space="preserve"> </w:t>
      </w:r>
      <w:proofErr w:type="spellStart"/>
      <w:r w:rsidRPr="004229C1">
        <w:rPr>
          <w:rFonts w:ascii="Times New Roman" w:eastAsia="Calibri" w:hAnsi="Times New Roman" w:cs="Times New Roman"/>
          <w:lang w:val="uk-UA"/>
        </w:rPr>
        <w:t>дiяльнiсть</w:t>
      </w:r>
      <w:proofErr w:type="spellEnd"/>
      <w:r w:rsidRPr="004229C1">
        <w:rPr>
          <w:rFonts w:ascii="Times New Roman" w:eastAsia="Calibri" w:hAnsi="Times New Roman" w:cs="Times New Roman"/>
          <w:lang w:val="uk-UA"/>
        </w:rPr>
        <w:t xml:space="preserve">» у Банку передбачена система управління ризиками, яка складається з постійно діючих комітетів: Кредитного комітету, Комітету з управління кредитним ризиком, Комітету з управління непрацюючими активами, Комітету з управління активами та пасивами, Комітету з управління операційним ризиком, Тендерного комітету, Комітету з екологічних, соціальних та управлінських питань, Комітету управління змінами, Комітету управління інформаційною безпекою та Комітету з питань управління кризою. До окремих структурних підрозділів, що забезпечують управління ризиками Банку, відноситься департамент управління ризиками. Департамент управління ризиками є незалежними від керівників бізнесових напрямів, що підтверджується підпорядкуванням Наглядовій Раді Банку. Наглядова Рада Банку визначає загальну стратегію управління ризиками, затверджує та здійснює перегляд Стратегії та політики управління ризиками, встановлює загальний рівень толерантності до ризиків. Правління Банку несе відповідальність за всі ризики, прийняті Банком, та делегує частину своїх функцій постійно діючим профільним Комітетам. Управління Банком, в тому числі i управління ризиками, виконується Правлінням Банку на принципах, затверджених Наглядовою Радою в рамках загальної стратегії та політики управління ризиками. Моніторинг i контроль здійснюються Правлінням Банку та постійно діючими комітетами під керівництвом Наглядової Ради, як найвищого спостережного органу Банку. </w:t>
      </w:r>
    </w:p>
    <w:p w14:paraId="5AB3EFCD"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 xml:space="preserve">Для даного етапу розвитку Банку, суттєвими серед фінансових ризиків визначено кредитний ризик, ризик ліквідності, ринковий ризик та процентний ризик банківської книги, а серед нефінансових – операційний ризик та комплаєнс-ризик. Стратегія та політика управління ризиками Банку дозволяє виявляти та аналізувати перераховані вище типи ризиків, встановлювати ризик-апетити та прийнятні </w:t>
      </w:r>
      <w:proofErr w:type="spellStart"/>
      <w:r w:rsidRPr="004229C1">
        <w:rPr>
          <w:rFonts w:ascii="Times New Roman" w:eastAsia="Calibri" w:hAnsi="Times New Roman" w:cs="Times New Roman"/>
          <w:lang w:val="uk-UA"/>
        </w:rPr>
        <w:t>лiмiти</w:t>
      </w:r>
      <w:proofErr w:type="spellEnd"/>
      <w:r w:rsidRPr="004229C1">
        <w:rPr>
          <w:rFonts w:ascii="Times New Roman" w:eastAsia="Calibri" w:hAnsi="Times New Roman" w:cs="Times New Roman"/>
          <w:lang w:val="uk-UA"/>
        </w:rPr>
        <w:t>, які можуть бути оцінені кількісно в рамках затвердженого ризик-апетиту; проводити відповідний моніторинг на постійній основі, спираючись на передові адміністративні та інформаційні системи. Банк також визнає інші види ризику, які присутні в діяльності Банку, але не є суттєвими і не основними: стратегічний ризик та ризик репутації.</w:t>
      </w:r>
    </w:p>
    <w:p w14:paraId="440381A2"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Мета процесу управління банківськими ризиками полягає в їх обмеженні або мінімізації, оскільки повністю уникнути ризиків неможливо, проте можливе прийняття підходу уникнення для окремих проєктів/видів діяльності. Банк визначає наступні цілі управління ризиками: досягнення оптимальної рівноваги між ризик-апетитами, показниками плану відновлення діяльності, величиною внутрішнього капіталу, обсягу внутрішньої ліквідності та бізнес-стратегією; удосконалення процесу прийняття рішень щодо виникаючи ризиків та їх пом’якшення; зменшення збитків шляхом контролю за співвідношенням витрат на управління ризиками та витрат, які можуть бути понесені внаслідок впливу таких ризиків; забезпечення функціонування безперервного та ефективного процесу управління ризиками, а також підтримання обізнаності усіх працівників Банку про ризик та культуру ризиків.</w:t>
      </w:r>
    </w:p>
    <w:p w14:paraId="55910ED9"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 xml:space="preserve">Процес управління ризиками представляє набір правил, процедур, людських / технологічних / організаційних ресурсів та контрольних дій, націлених на ідентифікацію, вимірювання або оцінювання, моніторинг, контроль, звітування та управління ризиками. </w:t>
      </w:r>
    </w:p>
    <w:p w14:paraId="38F3835C"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Управління ризиками реалізовується через наступні підходи та методи: уникнення ризику (відмова від ризикових проектів), прийняття через локалізацію (встановлення ризик-апетитів та лімітів з метою встановлення рівня прийнятності компромісу повернення ризику), пом’якшення через диверсифікацію (диверсифікація напрямів діяльності, розподіл ризику у часі, розподіл відповідальності між учасниками операції) та компенсацію (страхування та хеджування, які застосовуються для кредитного ризику, процентного ризику банківської книги та операційного ризику) всіх можливих ризиків або ризиків, що можуть виникнути у різних сегментах діяльності Банку.</w:t>
      </w:r>
    </w:p>
    <w:p w14:paraId="710322CE" w14:textId="77777777" w:rsidR="005356BA" w:rsidRPr="004229C1" w:rsidRDefault="005356BA" w:rsidP="005356BA">
      <w:pPr>
        <w:widowControl w:val="0"/>
        <w:autoSpaceDE w:val="0"/>
        <w:autoSpaceDN w:val="0"/>
        <w:adjustRightInd w:val="0"/>
        <w:spacing w:after="0" w:line="240" w:lineRule="auto"/>
        <w:jc w:val="both"/>
        <w:rPr>
          <w:rFonts w:ascii="Times New Roman" w:eastAsia="Calibri" w:hAnsi="Times New Roman" w:cs="Times New Roman"/>
          <w:lang w:val="uk-UA"/>
        </w:rPr>
      </w:pPr>
      <w:r w:rsidRPr="004229C1">
        <w:rPr>
          <w:rFonts w:ascii="Times New Roman" w:eastAsia="Calibri" w:hAnsi="Times New Roman" w:cs="Times New Roman"/>
          <w:lang w:val="uk-UA"/>
        </w:rPr>
        <w:t>Стратегія та політика управління ризиками передбачає використання усього спектру інструментів зниження ризику та використання кожного конкретного інструменту в залежності від типу ризику.</w:t>
      </w:r>
    </w:p>
    <w:p w14:paraId="0AED4B53"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4F3CBF18"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9.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0A21BFBD" w14:textId="77777777" w:rsidR="00412EFD" w:rsidRPr="004229C1" w:rsidRDefault="00412EFD">
      <w:pPr>
        <w:widowControl w:val="0"/>
        <w:autoSpaceDE w:val="0"/>
        <w:autoSpaceDN w:val="0"/>
        <w:adjustRightInd w:val="0"/>
        <w:spacing w:after="0" w:line="240" w:lineRule="auto"/>
        <w:jc w:val="both"/>
        <w:rPr>
          <w:rFonts w:ascii="Times New Roman" w:hAnsi="Times New Roman" w:cs="Times New Roman"/>
          <w:kern w:val="0"/>
          <w:lang w:val="uk-UA"/>
        </w:rPr>
      </w:pPr>
    </w:p>
    <w:p w14:paraId="3D277B45"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В наступному </w:t>
      </w:r>
      <w:proofErr w:type="spellStart"/>
      <w:r w:rsidRPr="004229C1">
        <w:rPr>
          <w:rFonts w:ascii="Times New Roman" w:hAnsi="Times New Roman" w:cs="Times New Roman"/>
          <w:kern w:val="0"/>
          <w:lang w:val="uk-UA"/>
        </w:rPr>
        <w:t>роцi</w:t>
      </w:r>
      <w:proofErr w:type="spellEnd"/>
      <w:r w:rsidRPr="004229C1">
        <w:rPr>
          <w:rFonts w:ascii="Times New Roman" w:hAnsi="Times New Roman" w:cs="Times New Roman"/>
          <w:kern w:val="0"/>
          <w:lang w:val="uk-UA"/>
        </w:rPr>
        <w:t xml:space="preserve"> Банк планує зосередитись на:</w:t>
      </w:r>
    </w:p>
    <w:p w14:paraId="2EB0E3CE"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подальшому </w:t>
      </w:r>
      <w:proofErr w:type="spellStart"/>
      <w:r w:rsidRPr="004229C1">
        <w:rPr>
          <w:rFonts w:ascii="Times New Roman" w:hAnsi="Times New Roman" w:cs="Times New Roman"/>
          <w:kern w:val="0"/>
          <w:lang w:val="uk-UA"/>
        </w:rPr>
        <w:t>посиленнi</w:t>
      </w:r>
      <w:proofErr w:type="spellEnd"/>
      <w:r w:rsidRPr="004229C1">
        <w:rPr>
          <w:rFonts w:ascii="Times New Roman" w:hAnsi="Times New Roman" w:cs="Times New Roman"/>
          <w:kern w:val="0"/>
          <w:lang w:val="uk-UA"/>
        </w:rPr>
        <w:t xml:space="preserve"> захисту </w:t>
      </w:r>
      <w:proofErr w:type="spellStart"/>
      <w:r w:rsidRPr="004229C1">
        <w:rPr>
          <w:rFonts w:ascii="Times New Roman" w:hAnsi="Times New Roman" w:cs="Times New Roman"/>
          <w:kern w:val="0"/>
          <w:lang w:val="uk-UA"/>
        </w:rPr>
        <w:t>iнформацiйних</w:t>
      </w:r>
      <w:proofErr w:type="spellEnd"/>
      <w:r w:rsidRPr="004229C1">
        <w:rPr>
          <w:rFonts w:ascii="Times New Roman" w:hAnsi="Times New Roman" w:cs="Times New Roman"/>
          <w:kern w:val="0"/>
          <w:lang w:val="uk-UA"/>
        </w:rPr>
        <w:t xml:space="preserve"> систем, </w:t>
      </w:r>
      <w:proofErr w:type="spellStart"/>
      <w:r w:rsidRPr="004229C1">
        <w:rPr>
          <w:rFonts w:ascii="Times New Roman" w:hAnsi="Times New Roman" w:cs="Times New Roman"/>
          <w:kern w:val="0"/>
          <w:lang w:val="uk-UA"/>
        </w:rPr>
        <w:t>встановленнi</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посиленнi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засобiв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запобiгання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кiбератакам</w:t>
      </w:r>
      <w:proofErr w:type="spellEnd"/>
      <w:r w:rsidRPr="004229C1">
        <w:rPr>
          <w:rFonts w:ascii="Times New Roman" w:hAnsi="Times New Roman" w:cs="Times New Roman"/>
          <w:kern w:val="0"/>
          <w:lang w:val="uk-UA"/>
        </w:rPr>
        <w:t>;</w:t>
      </w:r>
    </w:p>
    <w:p w14:paraId="5320123A"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подальшому </w:t>
      </w:r>
      <w:proofErr w:type="spellStart"/>
      <w:r w:rsidRPr="004229C1">
        <w:rPr>
          <w:rFonts w:ascii="Times New Roman" w:hAnsi="Times New Roman" w:cs="Times New Roman"/>
          <w:kern w:val="0"/>
          <w:lang w:val="uk-UA"/>
        </w:rPr>
        <w:t>забезпеченi</w:t>
      </w:r>
      <w:proofErr w:type="spellEnd"/>
      <w:r w:rsidRPr="004229C1">
        <w:rPr>
          <w:rFonts w:ascii="Times New Roman" w:hAnsi="Times New Roman" w:cs="Times New Roman"/>
          <w:kern w:val="0"/>
          <w:lang w:val="uk-UA"/>
        </w:rPr>
        <w:t xml:space="preserve"> безперервної </w:t>
      </w:r>
      <w:proofErr w:type="spellStart"/>
      <w:r w:rsidRPr="004229C1">
        <w:rPr>
          <w:rFonts w:ascii="Times New Roman" w:hAnsi="Times New Roman" w:cs="Times New Roman"/>
          <w:kern w:val="0"/>
          <w:lang w:val="uk-UA"/>
        </w:rPr>
        <w:t>дiяльностi</w:t>
      </w:r>
      <w:proofErr w:type="spellEnd"/>
      <w:r w:rsidRPr="004229C1">
        <w:rPr>
          <w:rFonts w:ascii="Times New Roman" w:hAnsi="Times New Roman" w:cs="Times New Roman"/>
          <w:kern w:val="0"/>
          <w:lang w:val="uk-UA"/>
        </w:rPr>
        <w:t xml:space="preserve"> Банку враховуючи </w:t>
      </w:r>
      <w:proofErr w:type="spellStart"/>
      <w:r w:rsidRPr="004229C1">
        <w:rPr>
          <w:rFonts w:ascii="Times New Roman" w:hAnsi="Times New Roman" w:cs="Times New Roman"/>
          <w:kern w:val="0"/>
          <w:lang w:val="uk-UA"/>
        </w:rPr>
        <w:t>поточнi</w:t>
      </w:r>
      <w:proofErr w:type="spellEnd"/>
      <w:r w:rsidRPr="004229C1">
        <w:rPr>
          <w:rFonts w:ascii="Times New Roman" w:hAnsi="Times New Roman" w:cs="Times New Roman"/>
          <w:kern w:val="0"/>
          <w:lang w:val="uk-UA"/>
        </w:rPr>
        <w:t xml:space="preserve"> обставини та </w:t>
      </w:r>
      <w:proofErr w:type="spellStart"/>
      <w:r w:rsidRPr="004229C1">
        <w:rPr>
          <w:rFonts w:ascii="Times New Roman" w:hAnsi="Times New Roman" w:cs="Times New Roman"/>
          <w:kern w:val="0"/>
          <w:lang w:val="uk-UA"/>
        </w:rPr>
        <w:t>складнощi</w:t>
      </w:r>
      <w:proofErr w:type="spellEnd"/>
      <w:r w:rsidRPr="004229C1">
        <w:rPr>
          <w:rFonts w:ascii="Times New Roman" w:hAnsi="Times New Roman" w:cs="Times New Roman"/>
          <w:kern w:val="0"/>
          <w:lang w:val="uk-UA"/>
        </w:rPr>
        <w:t xml:space="preserve">  в </w:t>
      </w:r>
      <w:proofErr w:type="spellStart"/>
      <w:r w:rsidRPr="004229C1">
        <w:rPr>
          <w:rFonts w:ascii="Times New Roman" w:hAnsi="Times New Roman" w:cs="Times New Roman"/>
          <w:kern w:val="0"/>
          <w:lang w:val="uk-UA"/>
        </w:rPr>
        <w:t>країнi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iз</w:t>
      </w:r>
      <w:proofErr w:type="spellEnd"/>
      <w:r w:rsidRPr="004229C1">
        <w:rPr>
          <w:rFonts w:ascii="Times New Roman" w:hAnsi="Times New Roman" w:cs="Times New Roman"/>
          <w:kern w:val="0"/>
          <w:lang w:val="uk-UA"/>
        </w:rPr>
        <w:t xml:space="preserve"> значними перебоями енергетики;</w:t>
      </w:r>
    </w:p>
    <w:p w14:paraId="10682459"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зростаннi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середнiх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залишкiв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депозитiв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клiєнтiв</w:t>
      </w:r>
      <w:proofErr w:type="spellEnd"/>
      <w:r w:rsidRPr="004229C1">
        <w:rPr>
          <w:rFonts w:ascii="Times New Roman" w:hAnsi="Times New Roman" w:cs="Times New Roman"/>
          <w:kern w:val="0"/>
          <w:lang w:val="uk-UA"/>
        </w:rPr>
        <w:t xml:space="preserve">, що у свою чергу забезпечить збереження високого </w:t>
      </w:r>
      <w:proofErr w:type="spellStart"/>
      <w:r w:rsidRPr="004229C1">
        <w:rPr>
          <w:rFonts w:ascii="Times New Roman" w:hAnsi="Times New Roman" w:cs="Times New Roman"/>
          <w:kern w:val="0"/>
          <w:lang w:val="uk-UA"/>
        </w:rPr>
        <w:t>рiвня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лiквiдностi</w:t>
      </w:r>
      <w:proofErr w:type="spellEnd"/>
      <w:r w:rsidRPr="004229C1">
        <w:rPr>
          <w:rFonts w:ascii="Times New Roman" w:hAnsi="Times New Roman" w:cs="Times New Roman"/>
          <w:kern w:val="0"/>
          <w:lang w:val="uk-UA"/>
        </w:rPr>
        <w:t>;</w:t>
      </w:r>
    </w:p>
    <w:p w14:paraId="064725AE"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покращеннi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операцiйної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ефективностi</w:t>
      </w:r>
      <w:proofErr w:type="spellEnd"/>
      <w:r w:rsidRPr="004229C1">
        <w:rPr>
          <w:rFonts w:ascii="Times New Roman" w:hAnsi="Times New Roman" w:cs="Times New Roman"/>
          <w:kern w:val="0"/>
          <w:lang w:val="uk-UA"/>
        </w:rPr>
        <w:t xml:space="preserve"> Банку з метою збереження </w:t>
      </w:r>
      <w:proofErr w:type="spellStart"/>
      <w:r w:rsidRPr="004229C1">
        <w:rPr>
          <w:rFonts w:ascii="Times New Roman" w:hAnsi="Times New Roman" w:cs="Times New Roman"/>
          <w:kern w:val="0"/>
          <w:lang w:val="uk-UA"/>
        </w:rPr>
        <w:t>капiталу</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рiвня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капiталiзацiї</w:t>
      </w:r>
      <w:proofErr w:type="spellEnd"/>
      <w:r w:rsidRPr="004229C1">
        <w:rPr>
          <w:rFonts w:ascii="Times New Roman" w:hAnsi="Times New Roman" w:cs="Times New Roman"/>
          <w:kern w:val="0"/>
          <w:lang w:val="uk-UA"/>
        </w:rPr>
        <w:t xml:space="preserve">, шляхом </w:t>
      </w:r>
      <w:proofErr w:type="spellStart"/>
      <w:r w:rsidRPr="004229C1">
        <w:rPr>
          <w:rFonts w:ascii="Times New Roman" w:hAnsi="Times New Roman" w:cs="Times New Roman"/>
          <w:kern w:val="0"/>
          <w:lang w:val="uk-UA"/>
        </w:rPr>
        <w:t>реiнжинiрингу</w:t>
      </w:r>
      <w:proofErr w:type="spellEnd"/>
      <w:r w:rsidRPr="004229C1">
        <w:rPr>
          <w:rFonts w:ascii="Times New Roman" w:hAnsi="Times New Roman" w:cs="Times New Roman"/>
          <w:kern w:val="0"/>
          <w:lang w:val="uk-UA"/>
        </w:rPr>
        <w:t xml:space="preserve"> структури витрат, їх </w:t>
      </w:r>
      <w:proofErr w:type="spellStart"/>
      <w:r w:rsidRPr="004229C1">
        <w:rPr>
          <w:rFonts w:ascii="Times New Roman" w:hAnsi="Times New Roman" w:cs="Times New Roman"/>
          <w:kern w:val="0"/>
          <w:lang w:val="uk-UA"/>
        </w:rPr>
        <w:t>оптимiзацiї</w:t>
      </w:r>
      <w:proofErr w:type="spellEnd"/>
      <w:r w:rsidRPr="004229C1">
        <w:rPr>
          <w:rFonts w:ascii="Times New Roman" w:hAnsi="Times New Roman" w:cs="Times New Roman"/>
          <w:kern w:val="0"/>
          <w:lang w:val="uk-UA"/>
        </w:rPr>
        <w:t xml:space="preserve"> та розвитку </w:t>
      </w:r>
      <w:proofErr w:type="spellStart"/>
      <w:r w:rsidRPr="004229C1">
        <w:rPr>
          <w:rFonts w:ascii="Times New Roman" w:hAnsi="Times New Roman" w:cs="Times New Roman"/>
          <w:kern w:val="0"/>
          <w:lang w:val="uk-UA"/>
        </w:rPr>
        <w:t>бiзнесу</w:t>
      </w:r>
      <w:proofErr w:type="spellEnd"/>
      <w:r w:rsidRPr="004229C1">
        <w:rPr>
          <w:rFonts w:ascii="Times New Roman" w:hAnsi="Times New Roman" w:cs="Times New Roman"/>
          <w:kern w:val="0"/>
          <w:lang w:val="uk-UA"/>
        </w:rPr>
        <w:t>;</w:t>
      </w:r>
    </w:p>
    <w:p w14:paraId="727D324A"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збiльшеннi</w:t>
      </w:r>
      <w:proofErr w:type="spellEnd"/>
      <w:r w:rsidRPr="004229C1">
        <w:rPr>
          <w:rFonts w:ascii="Times New Roman" w:hAnsi="Times New Roman" w:cs="Times New Roman"/>
          <w:kern w:val="0"/>
          <w:lang w:val="uk-UA"/>
        </w:rPr>
        <w:t xml:space="preserve"> чистого процентного доходу за рахунок зростання </w:t>
      </w:r>
      <w:proofErr w:type="spellStart"/>
      <w:r w:rsidRPr="004229C1">
        <w:rPr>
          <w:rFonts w:ascii="Times New Roman" w:hAnsi="Times New Roman" w:cs="Times New Roman"/>
          <w:kern w:val="0"/>
          <w:lang w:val="uk-UA"/>
        </w:rPr>
        <w:t>обсягiв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бiзнесу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оптимiзацiї</w:t>
      </w:r>
      <w:proofErr w:type="spellEnd"/>
      <w:r w:rsidRPr="004229C1">
        <w:rPr>
          <w:rFonts w:ascii="Times New Roman" w:hAnsi="Times New Roman" w:cs="Times New Roman"/>
          <w:kern w:val="0"/>
          <w:lang w:val="uk-UA"/>
        </w:rPr>
        <w:t xml:space="preserve"> структури портфелю </w:t>
      </w:r>
      <w:proofErr w:type="spellStart"/>
      <w:r w:rsidRPr="004229C1">
        <w:rPr>
          <w:rFonts w:ascii="Times New Roman" w:hAnsi="Times New Roman" w:cs="Times New Roman"/>
          <w:kern w:val="0"/>
          <w:lang w:val="uk-UA"/>
        </w:rPr>
        <w:t>цiнних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паперiв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вiдновлення</w:t>
      </w:r>
      <w:proofErr w:type="spellEnd"/>
      <w:r w:rsidRPr="004229C1">
        <w:rPr>
          <w:rFonts w:ascii="Times New Roman" w:hAnsi="Times New Roman" w:cs="Times New Roman"/>
          <w:kern w:val="0"/>
          <w:lang w:val="uk-UA"/>
        </w:rPr>
        <w:t xml:space="preserve"> кредитування та </w:t>
      </w:r>
      <w:proofErr w:type="spellStart"/>
      <w:r w:rsidRPr="004229C1">
        <w:rPr>
          <w:rFonts w:ascii="Times New Roman" w:hAnsi="Times New Roman" w:cs="Times New Roman"/>
          <w:kern w:val="0"/>
          <w:lang w:val="uk-UA"/>
        </w:rPr>
        <w:t>комiсiйних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доходiв</w:t>
      </w:r>
      <w:proofErr w:type="spellEnd"/>
      <w:r w:rsidRPr="004229C1">
        <w:rPr>
          <w:rFonts w:ascii="Times New Roman" w:hAnsi="Times New Roman" w:cs="Times New Roman"/>
          <w:kern w:val="0"/>
          <w:lang w:val="uk-UA"/>
        </w:rPr>
        <w:t>;</w:t>
      </w:r>
    </w:p>
    <w:p w14:paraId="47FF35EC"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реорганiзацiї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оптимiзацiї</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адаптацiї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органiзацiйної</w:t>
      </w:r>
      <w:proofErr w:type="spellEnd"/>
      <w:r w:rsidRPr="004229C1">
        <w:rPr>
          <w:rFonts w:ascii="Times New Roman" w:hAnsi="Times New Roman" w:cs="Times New Roman"/>
          <w:kern w:val="0"/>
          <w:lang w:val="uk-UA"/>
        </w:rPr>
        <w:t xml:space="preserve"> структури банку та </w:t>
      </w:r>
      <w:proofErr w:type="spellStart"/>
      <w:r w:rsidRPr="004229C1">
        <w:rPr>
          <w:rFonts w:ascii="Times New Roman" w:hAnsi="Times New Roman" w:cs="Times New Roman"/>
          <w:kern w:val="0"/>
          <w:lang w:val="uk-UA"/>
        </w:rPr>
        <w:t>мережi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вiддiлень</w:t>
      </w:r>
      <w:proofErr w:type="spellEnd"/>
      <w:r w:rsidRPr="004229C1">
        <w:rPr>
          <w:rFonts w:ascii="Times New Roman" w:hAnsi="Times New Roman" w:cs="Times New Roman"/>
          <w:kern w:val="0"/>
          <w:lang w:val="uk-UA"/>
        </w:rPr>
        <w:t xml:space="preserve"> з метою створення </w:t>
      </w:r>
      <w:proofErr w:type="spellStart"/>
      <w:r w:rsidRPr="004229C1">
        <w:rPr>
          <w:rFonts w:ascii="Times New Roman" w:hAnsi="Times New Roman" w:cs="Times New Roman"/>
          <w:kern w:val="0"/>
          <w:lang w:val="uk-UA"/>
        </w:rPr>
        <w:t>бiльшої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синергiї</w:t>
      </w:r>
      <w:proofErr w:type="spellEnd"/>
      <w:r w:rsidRPr="004229C1">
        <w:rPr>
          <w:rFonts w:ascii="Times New Roman" w:hAnsi="Times New Roman" w:cs="Times New Roman"/>
          <w:kern w:val="0"/>
          <w:lang w:val="uk-UA"/>
        </w:rPr>
        <w:t xml:space="preserve">, яка забезпечить зростання </w:t>
      </w:r>
      <w:proofErr w:type="spellStart"/>
      <w:r w:rsidRPr="004229C1">
        <w:rPr>
          <w:rFonts w:ascii="Times New Roman" w:hAnsi="Times New Roman" w:cs="Times New Roman"/>
          <w:kern w:val="0"/>
          <w:lang w:val="uk-UA"/>
        </w:rPr>
        <w:t>бiзнесу</w:t>
      </w:r>
      <w:proofErr w:type="spellEnd"/>
      <w:r w:rsidRPr="004229C1">
        <w:rPr>
          <w:rFonts w:ascii="Times New Roman" w:hAnsi="Times New Roman" w:cs="Times New Roman"/>
          <w:kern w:val="0"/>
          <w:lang w:val="uk-UA"/>
        </w:rPr>
        <w:t xml:space="preserve"> та зменшення витрат;</w:t>
      </w:r>
    </w:p>
    <w:p w14:paraId="24C46E16"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управлiннi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рiвнем</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якостi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активiв</w:t>
      </w:r>
      <w:proofErr w:type="spellEnd"/>
      <w:r w:rsidRPr="004229C1">
        <w:rPr>
          <w:rFonts w:ascii="Times New Roman" w:hAnsi="Times New Roman" w:cs="Times New Roman"/>
          <w:kern w:val="0"/>
          <w:lang w:val="uk-UA"/>
        </w:rPr>
        <w:t xml:space="preserve">, враховуючи потреби </w:t>
      </w:r>
      <w:proofErr w:type="spellStart"/>
      <w:r w:rsidRPr="004229C1">
        <w:rPr>
          <w:rFonts w:ascii="Times New Roman" w:hAnsi="Times New Roman" w:cs="Times New Roman"/>
          <w:kern w:val="0"/>
          <w:lang w:val="uk-UA"/>
        </w:rPr>
        <w:t>клiєнтiв</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особливi</w:t>
      </w:r>
      <w:proofErr w:type="spellEnd"/>
      <w:r w:rsidRPr="004229C1">
        <w:rPr>
          <w:rFonts w:ascii="Times New Roman" w:hAnsi="Times New Roman" w:cs="Times New Roman"/>
          <w:kern w:val="0"/>
          <w:lang w:val="uk-UA"/>
        </w:rPr>
        <w:t xml:space="preserve"> обставини  таким чином, щоб </w:t>
      </w:r>
      <w:proofErr w:type="spellStart"/>
      <w:r w:rsidRPr="004229C1">
        <w:rPr>
          <w:rFonts w:ascii="Times New Roman" w:hAnsi="Times New Roman" w:cs="Times New Roman"/>
          <w:kern w:val="0"/>
          <w:lang w:val="uk-UA"/>
        </w:rPr>
        <w:t>мiнiмiзувати</w:t>
      </w:r>
      <w:proofErr w:type="spellEnd"/>
      <w:r w:rsidRPr="004229C1">
        <w:rPr>
          <w:rFonts w:ascii="Times New Roman" w:hAnsi="Times New Roman" w:cs="Times New Roman"/>
          <w:kern w:val="0"/>
          <w:lang w:val="uk-UA"/>
        </w:rPr>
        <w:t xml:space="preserve"> збитки та </w:t>
      </w:r>
      <w:proofErr w:type="spellStart"/>
      <w:r w:rsidRPr="004229C1">
        <w:rPr>
          <w:rFonts w:ascii="Times New Roman" w:hAnsi="Times New Roman" w:cs="Times New Roman"/>
          <w:kern w:val="0"/>
          <w:lang w:val="uk-UA"/>
        </w:rPr>
        <w:t>рiвень</w:t>
      </w:r>
      <w:proofErr w:type="spellEnd"/>
      <w:r w:rsidRPr="004229C1">
        <w:rPr>
          <w:rFonts w:ascii="Times New Roman" w:hAnsi="Times New Roman" w:cs="Times New Roman"/>
          <w:kern w:val="0"/>
          <w:lang w:val="uk-UA"/>
        </w:rPr>
        <w:t xml:space="preserve"> непрацюючих </w:t>
      </w:r>
      <w:proofErr w:type="spellStart"/>
      <w:r w:rsidRPr="004229C1">
        <w:rPr>
          <w:rFonts w:ascii="Times New Roman" w:hAnsi="Times New Roman" w:cs="Times New Roman"/>
          <w:kern w:val="0"/>
          <w:lang w:val="uk-UA"/>
        </w:rPr>
        <w:t>кредитiв</w:t>
      </w:r>
      <w:proofErr w:type="spellEnd"/>
      <w:r w:rsidRPr="004229C1">
        <w:rPr>
          <w:rFonts w:ascii="Times New Roman" w:hAnsi="Times New Roman" w:cs="Times New Roman"/>
          <w:kern w:val="0"/>
          <w:lang w:val="uk-UA"/>
        </w:rPr>
        <w:t xml:space="preserve"> (NPL);</w:t>
      </w:r>
    </w:p>
    <w:p w14:paraId="6131B65B" w14:textId="1EC0032F" w:rsidR="00412EFD"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дiджиталiзацiї</w:t>
      </w:r>
      <w:proofErr w:type="spellEnd"/>
      <w:r w:rsidRPr="004229C1">
        <w:rPr>
          <w:rFonts w:ascii="Times New Roman" w:hAnsi="Times New Roman" w:cs="Times New Roman"/>
          <w:kern w:val="0"/>
          <w:lang w:val="uk-UA"/>
        </w:rPr>
        <w:t xml:space="preserve"> продуктової ланки та </w:t>
      </w:r>
      <w:proofErr w:type="spellStart"/>
      <w:r w:rsidRPr="004229C1">
        <w:rPr>
          <w:rFonts w:ascii="Times New Roman" w:hAnsi="Times New Roman" w:cs="Times New Roman"/>
          <w:kern w:val="0"/>
          <w:lang w:val="uk-UA"/>
        </w:rPr>
        <w:t>покращеннi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on-line</w:t>
      </w:r>
      <w:proofErr w:type="spellEnd"/>
      <w:r w:rsidRPr="004229C1">
        <w:rPr>
          <w:rFonts w:ascii="Times New Roman" w:hAnsi="Times New Roman" w:cs="Times New Roman"/>
          <w:kern w:val="0"/>
          <w:lang w:val="uk-UA"/>
        </w:rPr>
        <w:t xml:space="preserve"> обслуговування </w:t>
      </w:r>
      <w:proofErr w:type="spellStart"/>
      <w:r w:rsidRPr="004229C1">
        <w:rPr>
          <w:rFonts w:ascii="Times New Roman" w:hAnsi="Times New Roman" w:cs="Times New Roman"/>
          <w:kern w:val="0"/>
          <w:lang w:val="uk-UA"/>
        </w:rPr>
        <w:t>клiєнтiв</w:t>
      </w:r>
      <w:proofErr w:type="spellEnd"/>
      <w:r w:rsidRPr="004229C1">
        <w:rPr>
          <w:rFonts w:ascii="Times New Roman" w:hAnsi="Times New Roman" w:cs="Times New Roman"/>
          <w:kern w:val="0"/>
          <w:lang w:val="uk-UA"/>
        </w:rPr>
        <w:t>.</w:t>
      </w:r>
    </w:p>
    <w:p w14:paraId="35281C0D"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p>
    <w:p w14:paraId="0C96E9A1"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18B58B78" w14:textId="77777777" w:rsidR="00412EFD" w:rsidRPr="004229C1" w:rsidRDefault="00412EFD">
      <w:pPr>
        <w:widowControl w:val="0"/>
        <w:autoSpaceDE w:val="0"/>
        <w:autoSpaceDN w:val="0"/>
        <w:adjustRightInd w:val="0"/>
        <w:spacing w:after="0" w:line="240" w:lineRule="auto"/>
        <w:jc w:val="both"/>
        <w:rPr>
          <w:rFonts w:ascii="Times New Roman" w:hAnsi="Times New Roman" w:cs="Times New Roman"/>
          <w:kern w:val="0"/>
          <w:lang w:val="uk-UA"/>
        </w:rPr>
      </w:pPr>
    </w:p>
    <w:p w14:paraId="4386E4C7"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Бюджетом </w:t>
      </w:r>
      <w:proofErr w:type="spellStart"/>
      <w:r w:rsidRPr="004229C1">
        <w:rPr>
          <w:rFonts w:ascii="Times New Roman" w:hAnsi="Times New Roman" w:cs="Times New Roman"/>
          <w:kern w:val="0"/>
          <w:lang w:val="uk-UA"/>
        </w:rPr>
        <w:t>капiтальних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iнвестицiй</w:t>
      </w:r>
      <w:proofErr w:type="spellEnd"/>
      <w:r w:rsidRPr="004229C1">
        <w:rPr>
          <w:rFonts w:ascii="Times New Roman" w:hAnsi="Times New Roman" w:cs="Times New Roman"/>
          <w:kern w:val="0"/>
          <w:lang w:val="uk-UA"/>
        </w:rPr>
        <w:t xml:space="preserve"> передбачено: </w:t>
      </w:r>
    </w:p>
    <w:p w14:paraId="290373FF"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оновлення </w:t>
      </w:r>
      <w:proofErr w:type="spellStart"/>
      <w:r w:rsidRPr="004229C1">
        <w:rPr>
          <w:rFonts w:ascii="Times New Roman" w:hAnsi="Times New Roman" w:cs="Times New Roman"/>
          <w:kern w:val="0"/>
          <w:lang w:val="uk-UA"/>
        </w:rPr>
        <w:t>лiцензiй</w:t>
      </w:r>
      <w:proofErr w:type="spellEnd"/>
      <w:r w:rsidRPr="004229C1">
        <w:rPr>
          <w:rFonts w:ascii="Times New Roman" w:hAnsi="Times New Roman" w:cs="Times New Roman"/>
          <w:kern w:val="0"/>
          <w:lang w:val="uk-UA"/>
        </w:rPr>
        <w:t xml:space="preserve">, доопрацювання i розширення </w:t>
      </w:r>
      <w:proofErr w:type="spellStart"/>
      <w:r w:rsidRPr="004229C1">
        <w:rPr>
          <w:rFonts w:ascii="Times New Roman" w:hAnsi="Times New Roman" w:cs="Times New Roman"/>
          <w:kern w:val="0"/>
          <w:lang w:val="uk-UA"/>
        </w:rPr>
        <w:t>функцiоналу</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iснуючого</w:t>
      </w:r>
      <w:proofErr w:type="spellEnd"/>
      <w:r w:rsidRPr="004229C1">
        <w:rPr>
          <w:rFonts w:ascii="Times New Roman" w:hAnsi="Times New Roman" w:cs="Times New Roman"/>
          <w:kern w:val="0"/>
          <w:lang w:val="uk-UA"/>
        </w:rPr>
        <w:t xml:space="preserve"> та впровадження нового програмного забезпечення IT та AML;</w:t>
      </w:r>
    </w:p>
    <w:p w14:paraId="0485BEFA"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модернiзацiя</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iснуючих</w:t>
      </w:r>
      <w:proofErr w:type="spellEnd"/>
      <w:r w:rsidRPr="004229C1">
        <w:rPr>
          <w:rFonts w:ascii="Times New Roman" w:hAnsi="Times New Roman" w:cs="Times New Roman"/>
          <w:kern w:val="0"/>
          <w:lang w:val="uk-UA"/>
        </w:rPr>
        <w:t xml:space="preserve"> та впровадження нових </w:t>
      </w:r>
      <w:proofErr w:type="spellStart"/>
      <w:r w:rsidRPr="004229C1">
        <w:rPr>
          <w:rFonts w:ascii="Times New Roman" w:hAnsi="Times New Roman" w:cs="Times New Roman"/>
          <w:kern w:val="0"/>
          <w:lang w:val="uk-UA"/>
        </w:rPr>
        <w:t>бiзнес-проектiв</w:t>
      </w:r>
      <w:proofErr w:type="spellEnd"/>
      <w:r w:rsidRPr="004229C1">
        <w:rPr>
          <w:rFonts w:ascii="Times New Roman" w:hAnsi="Times New Roman" w:cs="Times New Roman"/>
          <w:kern w:val="0"/>
          <w:lang w:val="uk-UA"/>
        </w:rPr>
        <w:t>/</w:t>
      </w:r>
      <w:proofErr w:type="spellStart"/>
      <w:r w:rsidRPr="004229C1">
        <w:rPr>
          <w:rFonts w:ascii="Times New Roman" w:hAnsi="Times New Roman" w:cs="Times New Roman"/>
          <w:kern w:val="0"/>
          <w:lang w:val="uk-UA"/>
        </w:rPr>
        <w:t>процесiв</w:t>
      </w:r>
      <w:proofErr w:type="spellEnd"/>
      <w:r w:rsidRPr="004229C1">
        <w:rPr>
          <w:rFonts w:ascii="Times New Roman" w:hAnsi="Times New Roman" w:cs="Times New Roman"/>
          <w:kern w:val="0"/>
          <w:lang w:val="uk-UA"/>
        </w:rPr>
        <w:t xml:space="preserve">, в тому </w:t>
      </w:r>
      <w:proofErr w:type="spellStart"/>
      <w:r w:rsidRPr="004229C1">
        <w:rPr>
          <w:rFonts w:ascii="Times New Roman" w:hAnsi="Times New Roman" w:cs="Times New Roman"/>
          <w:kern w:val="0"/>
          <w:lang w:val="uk-UA"/>
        </w:rPr>
        <w:t>числi</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мобiльного</w:t>
      </w:r>
      <w:proofErr w:type="spellEnd"/>
      <w:r w:rsidRPr="004229C1">
        <w:rPr>
          <w:rFonts w:ascii="Times New Roman" w:hAnsi="Times New Roman" w:cs="Times New Roman"/>
          <w:kern w:val="0"/>
          <w:lang w:val="uk-UA"/>
        </w:rPr>
        <w:t xml:space="preserve"> додатку, </w:t>
      </w:r>
      <w:proofErr w:type="spellStart"/>
      <w:r w:rsidRPr="004229C1">
        <w:rPr>
          <w:rFonts w:ascii="Times New Roman" w:hAnsi="Times New Roman" w:cs="Times New Roman"/>
          <w:kern w:val="0"/>
          <w:lang w:val="uk-UA"/>
        </w:rPr>
        <w:t>iнтернет-банкiнгу</w:t>
      </w:r>
      <w:proofErr w:type="spellEnd"/>
      <w:r w:rsidRPr="004229C1">
        <w:rPr>
          <w:rFonts w:ascii="Times New Roman" w:hAnsi="Times New Roman" w:cs="Times New Roman"/>
          <w:kern w:val="0"/>
          <w:lang w:val="uk-UA"/>
        </w:rPr>
        <w:t xml:space="preserve"> для </w:t>
      </w:r>
      <w:proofErr w:type="spellStart"/>
      <w:r w:rsidRPr="004229C1">
        <w:rPr>
          <w:rFonts w:ascii="Times New Roman" w:hAnsi="Times New Roman" w:cs="Times New Roman"/>
          <w:kern w:val="0"/>
          <w:lang w:val="uk-UA"/>
        </w:rPr>
        <w:t>фiзичних</w:t>
      </w:r>
      <w:proofErr w:type="spellEnd"/>
      <w:r w:rsidRPr="004229C1">
        <w:rPr>
          <w:rFonts w:ascii="Times New Roman" w:hAnsi="Times New Roman" w:cs="Times New Roman"/>
          <w:kern w:val="0"/>
          <w:lang w:val="uk-UA"/>
        </w:rPr>
        <w:t xml:space="preserve"> та юридичних </w:t>
      </w:r>
      <w:proofErr w:type="spellStart"/>
      <w:r w:rsidRPr="004229C1">
        <w:rPr>
          <w:rFonts w:ascii="Times New Roman" w:hAnsi="Times New Roman" w:cs="Times New Roman"/>
          <w:kern w:val="0"/>
          <w:lang w:val="uk-UA"/>
        </w:rPr>
        <w:t>осiб</w:t>
      </w:r>
      <w:proofErr w:type="spellEnd"/>
      <w:r w:rsidRPr="004229C1">
        <w:rPr>
          <w:rFonts w:ascii="Times New Roman" w:hAnsi="Times New Roman" w:cs="Times New Roman"/>
          <w:kern w:val="0"/>
          <w:lang w:val="uk-UA"/>
        </w:rPr>
        <w:t xml:space="preserve">, нових </w:t>
      </w:r>
      <w:proofErr w:type="spellStart"/>
      <w:r w:rsidRPr="004229C1">
        <w:rPr>
          <w:rFonts w:ascii="Times New Roman" w:hAnsi="Times New Roman" w:cs="Times New Roman"/>
          <w:kern w:val="0"/>
          <w:lang w:val="uk-UA"/>
        </w:rPr>
        <w:t>продуктiв</w:t>
      </w:r>
      <w:proofErr w:type="spellEnd"/>
      <w:r w:rsidRPr="004229C1">
        <w:rPr>
          <w:rFonts w:ascii="Times New Roman" w:hAnsi="Times New Roman" w:cs="Times New Roman"/>
          <w:kern w:val="0"/>
          <w:lang w:val="uk-UA"/>
        </w:rPr>
        <w:t xml:space="preserve">/послуг </w:t>
      </w:r>
      <w:proofErr w:type="spellStart"/>
      <w:r w:rsidRPr="004229C1">
        <w:rPr>
          <w:rFonts w:ascii="Times New Roman" w:hAnsi="Times New Roman" w:cs="Times New Roman"/>
          <w:kern w:val="0"/>
          <w:lang w:val="uk-UA"/>
        </w:rPr>
        <w:t>роздрiбного</w:t>
      </w:r>
      <w:proofErr w:type="spellEnd"/>
      <w:r w:rsidRPr="004229C1">
        <w:rPr>
          <w:rFonts w:ascii="Times New Roman" w:hAnsi="Times New Roman" w:cs="Times New Roman"/>
          <w:kern w:val="0"/>
          <w:lang w:val="uk-UA"/>
        </w:rPr>
        <w:t xml:space="preserve"> та корпоративного </w:t>
      </w:r>
      <w:proofErr w:type="spellStart"/>
      <w:r w:rsidRPr="004229C1">
        <w:rPr>
          <w:rFonts w:ascii="Times New Roman" w:hAnsi="Times New Roman" w:cs="Times New Roman"/>
          <w:kern w:val="0"/>
          <w:lang w:val="uk-UA"/>
        </w:rPr>
        <w:t>бiзнесу</w:t>
      </w:r>
      <w:proofErr w:type="spellEnd"/>
      <w:r w:rsidRPr="004229C1">
        <w:rPr>
          <w:rFonts w:ascii="Times New Roman" w:hAnsi="Times New Roman" w:cs="Times New Roman"/>
          <w:kern w:val="0"/>
          <w:lang w:val="uk-UA"/>
        </w:rPr>
        <w:t xml:space="preserve">, доопрацювання СРМ, веб-сайту, вдосконалення електронного </w:t>
      </w:r>
      <w:proofErr w:type="spellStart"/>
      <w:r w:rsidRPr="004229C1">
        <w:rPr>
          <w:rFonts w:ascii="Times New Roman" w:hAnsi="Times New Roman" w:cs="Times New Roman"/>
          <w:kern w:val="0"/>
          <w:lang w:val="uk-UA"/>
        </w:rPr>
        <w:t>документообiгу</w:t>
      </w:r>
      <w:proofErr w:type="spellEnd"/>
      <w:r w:rsidRPr="004229C1">
        <w:rPr>
          <w:rFonts w:ascii="Times New Roman" w:hAnsi="Times New Roman" w:cs="Times New Roman"/>
          <w:kern w:val="0"/>
          <w:lang w:val="uk-UA"/>
        </w:rPr>
        <w:t xml:space="preserve"> i </w:t>
      </w:r>
      <w:proofErr w:type="spellStart"/>
      <w:r w:rsidRPr="004229C1">
        <w:rPr>
          <w:rFonts w:ascii="Times New Roman" w:hAnsi="Times New Roman" w:cs="Times New Roman"/>
          <w:kern w:val="0"/>
          <w:lang w:val="uk-UA"/>
        </w:rPr>
        <w:t>т.д</w:t>
      </w:r>
      <w:proofErr w:type="spellEnd"/>
      <w:r w:rsidRPr="004229C1">
        <w:rPr>
          <w:rFonts w:ascii="Times New Roman" w:hAnsi="Times New Roman" w:cs="Times New Roman"/>
          <w:kern w:val="0"/>
          <w:lang w:val="uk-UA"/>
        </w:rPr>
        <w:t>.</w:t>
      </w:r>
    </w:p>
    <w:p w14:paraId="19FC3F49"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впровадження та </w:t>
      </w:r>
      <w:proofErr w:type="spellStart"/>
      <w:r w:rsidRPr="004229C1">
        <w:rPr>
          <w:rFonts w:ascii="Times New Roman" w:hAnsi="Times New Roman" w:cs="Times New Roman"/>
          <w:kern w:val="0"/>
          <w:lang w:val="uk-UA"/>
        </w:rPr>
        <w:t>автоматизацiя</w:t>
      </w:r>
      <w:proofErr w:type="spellEnd"/>
      <w:r w:rsidRPr="004229C1">
        <w:rPr>
          <w:rFonts w:ascii="Times New Roman" w:hAnsi="Times New Roman" w:cs="Times New Roman"/>
          <w:kern w:val="0"/>
          <w:lang w:val="uk-UA"/>
        </w:rPr>
        <w:t xml:space="preserve"> обов'язкової </w:t>
      </w:r>
      <w:proofErr w:type="spellStart"/>
      <w:r w:rsidRPr="004229C1">
        <w:rPr>
          <w:rFonts w:ascii="Times New Roman" w:hAnsi="Times New Roman" w:cs="Times New Roman"/>
          <w:kern w:val="0"/>
          <w:lang w:val="uk-UA"/>
        </w:rPr>
        <w:t>управлiнської</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звiтностi</w:t>
      </w:r>
      <w:proofErr w:type="spellEnd"/>
      <w:r w:rsidRPr="004229C1">
        <w:rPr>
          <w:rFonts w:ascii="Times New Roman" w:hAnsi="Times New Roman" w:cs="Times New Roman"/>
          <w:kern w:val="0"/>
          <w:lang w:val="uk-UA"/>
        </w:rPr>
        <w:t xml:space="preserve"> як для материнської </w:t>
      </w:r>
      <w:proofErr w:type="spellStart"/>
      <w:r w:rsidRPr="004229C1">
        <w:rPr>
          <w:rFonts w:ascii="Times New Roman" w:hAnsi="Times New Roman" w:cs="Times New Roman"/>
          <w:kern w:val="0"/>
          <w:lang w:val="uk-UA"/>
        </w:rPr>
        <w:t>компанiї</w:t>
      </w:r>
      <w:proofErr w:type="spellEnd"/>
      <w:r w:rsidRPr="004229C1">
        <w:rPr>
          <w:rFonts w:ascii="Times New Roman" w:hAnsi="Times New Roman" w:cs="Times New Roman"/>
          <w:kern w:val="0"/>
          <w:lang w:val="uk-UA"/>
        </w:rPr>
        <w:t>, так i для НБУ</w:t>
      </w:r>
    </w:p>
    <w:p w14:paraId="7D148B6A"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впровадження нового формату для </w:t>
      </w:r>
      <w:proofErr w:type="spellStart"/>
      <w:r w:rsidRPr="004229C1">
        <w:rPr>
          <w:rFonts w:ascii="Times New Roman" w:hAnsi="Times New Roman" w:cs="Times New Roman"/>
          <w:kern w:val="0"/>
          <w:lang w:val="uk-UA"/>
        </w:rPr>
        <w:t>повiдомлень</w:t>
      </w:r>
      <w:proofErr w:type="spellEnd"/>
      <w:r w:rsidRPr="004229C1">
        <w:rPr>
          <w:rFonts w:ascii="Times New Roman" w:hAnsi="Times New Roman" w:cs="Times New Roman"/>
          <w:kern w:val="0"/>
          <w:lang w:val="uk-UA"/>
        </w:rPr>
        <w:t xml:space="preserve"> SWIFT </w:t>
      </w:r>
      <w:proofErr w:type="spellStart"/>
      <w:r w:rsidRPr="004229C1">
        <w:rPr>
          <w:rFonts w:ascii="Times New Roman" w:hAnsi="Times New Roman" w:cs="Times New Roman"/>
          <w:kern w:val="0"/>
          <w:lang w:val="uk-UA"/>
        </w:rPr>
        <w:t>вiдповiдно</w:t>
      </w:r>
      <w:proofErr w:type="spellEnd"/>
      <w:r w:rsidRPr="004229C1">
        <w:rPr>
          <w:rFonts w:ascii="Times New Roman" w:hAnsi="Times New Roman" w:cs="Times New Roman"/>
          <w:kern w:val="0"/>
          <w:lang w:val="uk-UA"/>
        </w:rPr>
        <w:t xml:space="preserve"> до ISO 20022</w:t>
      </w:r>
    </w:p>
    <w:p w14:paraId="18354EAE"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закупiвля</w:t>
      </w:r>
      <w:proofErr w:type="spellEnd"/>
      <w:r w:rsidRPr="004229C1">
        <w:rPr>
          <w:rFonts w:ascii="Times New Roman" w:hAnsi="Times New Roman" w:cs="Times New Roman"/>
          <w:kern w:val="0"/>
          <w:lang w:val="uk-UA"/>
        </w:rPr>
        <w:t xml:space="preserve">, оновлення i </w:t>
      </w:r>
      <w:proofErr w:type="spellStart"/>
      <w:r w:rsidRPr="004229C1">
        <w:rPr>
          <w:rFonts w:ascii="Times New Roman" w:hAnsi="Times New Roman" w:cs="Times New Roman"/>
          <w:kern w:val="0"/>
          <w:lang w:val="uk-UA"/>
        </w:rPr>
        <w:t>модернiзацiя</w:t>
      </w:r>
      <w:proofErr w:type="spellEnd"/>
      <w:r w:rsidRPr="004229C1">
        <w:rPr>
          <w:rFonts w:ascii="Times New Roman" w:hAnsi="Times New Roman" w:cs="Times New Roman"/>
          <w:kern w:val="0"/>
          <w:lang w:val="uk-UA"/>
        </w:rPr>
        <w:t xml:space="preserve"> основних </w:t>
      </w:r>
      <w:proofErr w:type="spellStart"/>
      <w:r w:rsidRPr="004229C1">
        <w:rPr>
          <w:rFonts w:ascii="Times New Roman" w:hAnsi="Times New Roman" w:cs="Times New Roman"/>
          <w:kern w:val="0"/>
          <w:lang w:val="uk-UA"/>
        </w:rPr>
        <w:t>засобiв</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замiна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застарiлого</w:t>
      </w:r>
      <w:proofErr w:type="spellEnd"/>
      <w:r w:rsidRPr="004229C1">
        <w:rPr>
          <w:rFonts w:ascii="Times New Roman" w:hAnsi="Times New Roman" w:cs="Times New Roman"/>
          <w:kern w:val="0"/>
          <w:lang w:val="uk-UA"/>
        </w:rPr>
        <w:t xml:space="preserve"> та </w:t>
      </w:r>
      <w:proofErr w:type="spellStart"/>
      <w:r w:rsidRPr="004229C1">
        <w:rPr>
          <w:rFonts w:ascii="Times New Roman" w:hAnsi="Times New Roman" w:cs="Times New Roman"/>
          <w:kern w:val="0"/>
          <w:lang w:val="uk-UA"/>
        </w:rPr>
        <w:t>зiпсованого</w:t>
      </w:r>
      <w:proofErr w:type="spellEnd"/>
      <w:r w:rsidRPr="004229C1">
        <w:rPr>
          <w:rFonts w:ascii="Times New Roman" w:hAnsi="Times New Roman" w:cs="Times New Roman"/>
          <w:kern w:val="0"/>
          <w:lang w:val="uk-UA"/>
        </w:rPr>
        <w:t xml:space="preserve"> обладнання (</w:t>
      </w:r>
      <w:proofErr w:type="spellStart"/>
      <w:r w:rsidRPr="004229C1">
        <w:rPr>
          <w:rFonts w:ascii="Times New Roman" w:hAnsi="Times New Roman" w:cs="Times New Roman"/>
          <w:kern w:val="0"/>
          <w:lang w:val="uk-UA"/>
        </w:rPr>
        <w:t>інверторних</w:t>
      </w:r>
      <w:proofErr w:type="spellEnd"/>
      <w:r w:rsidRPr="004229C1">
        <w:rPr>
          <w:rFonts w:ascii="Times New Roman" w:hAnsi="Times New Roman" w:cs="Times New Roman"/>
          <w:kern w:val="0"/>
          <w:lang w:val="uk-UA"/>
        </w:rPr>
        <w:t xml:space="preserve"> систем, комп'ютерної </w:t>
      </w:r>
      <w:proofErr w:type="spellStart"/>
      <w:r w:rsidRPr="004229C1">
        <w:rPr>
          <w:rFonts w:ascii="Times New Roman" w:hAnsi="Times New Roman" w:cs="Times New Roman"/>
          <w:kern w:val="0"/>
          <w:lang w:val="uk-UA"/>
        </w:rPr>
        <w:t>технiки</w:t>
      </w:r>
      <w:proofErr w:type="spellEnd"/>
      <w:r w:rsidRPr="004229C1">
        <w:rPr>
          <w:rFonts w:ascii="Times New Roman" w:hAnsi="Times New Roman" w:cs="Times New Roman"/>
          <w:kern w:val="0"/>
          <w:lang w:val="uk-UA"/>
        </w:rPr>
        <w:t xml:space="preserve">, зарядних пристроїв, </w:t>
      </w:r>
      <w:proofErr w:type="spellStart"/>
      <w:r w:rsidRPr="004229C1">
        <w:rPr>
          <w:rFonts w:ascii="Times New Roman" w:hAnsi="Times New Roman" w:cs="Times New Roman"/>
          <w:kern w:val="0"/>
          <w:lang w:val="uk-UA"/>
        </w:rPr>
        <w:t>офiсного</w:t>
      </w:r>
      <w:proofErr w:type="spellEnd"/>
      <w:r w:rsidRPr="004229C1">
        <w:rPr>
          <w:rFonts w:ascii="Times New Roman" w:hAnsi="Times New Roman" w:cs="Times New Roman"/>
          <w:kern w:val="0"/>
          <w:lang w:val="uk-UA"/>
        </w:rPr>
        <w:t xml:space="preserve"> обладнання, </w:t>
      </w:r>
      <w:proofErr w:type="spellStart"/>
      <w:r w:rsidRPr="004229C1">
        <w:rPr>
          <w:rFonts w:ascii="Times New Roman" w:hAnsi="Times New Roman" w:cs="Times New Roman"/>
          <w:kern w:val="0"/>
          <w:lang w:val="uk-UA"/>
        </w:rPr>
        <w:t>засобiв</w:t>
      </w:r>
      <w:proofErr w:type="spellEnd"/>
      <w:r w:rsidRPr="004229C1">
        <w:rPr>
          <w:rFonts w:ascii="Times New Roman" w:hAnsi="Times New Roman" w:cs="Times New Roman"/>
          <w:kern w:val="0"/>
          <w:lang w:val="uk-UA"/>
        </w:rPr>
        <w:t xml:space="preserve"> безпеки та </w:t>
      </w:r>
      <w:proofErr w:type="spellStart"/>
      <w:r w:rsidRPr="004229C1">
        <w:rPr>
          <w:rFonts w:ascii="Times New Roman" w:hAnsi="Times New Roman" w:cs="Times New Roman"/>
          <w:kern w:val="0"/>
          <w:lang w:val="uk-UA"/>
        </w:rPr>
        <w:t>вiдеоспостереження</w:t>
      </w:r>
      <w:proofErr w:type="spellEnd"/>
      <w:r w:rsidRPr="004229C1">
        <w:rPr>
          <w:rFonts w:ascii="Times New Roman" w:hAnsi="Times New Roman" w:cs="Times New Roman"/>
          <w:kern w:val="0"/>
          <w:lang w:val="uk-UA"/>
        </w:rPr>
        <w:t>, тощо);</w:t>
      </w:r>
    </w:p>
    <w:p w14:paraId="18EDCB65" w14:textId="501835B6" w:rsidR="00412EFD"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r>
      <w:proofErr w:type="spellStart"/>
      <w:r w:rsidRPr="004229C1">
        <w:rPr>
          <w:rFonts w:ascii="Times New Roman" w:hAnsi="Times New Roman" w:cs="Times New Roman"/>
          <w:kern w:val="0"/>
          <w:lang w:val="uk-UA"/>
        </w:rPr>
        <w:t>капiтальний</w:t>
      </w:r>
      <w:proofErr w:type="spellEnd"/>
      <w:r w:rsidRPr="004229C1">
        <w:rPr>
          <w:rFonts w:ascii="Times New Roman" w:hAnsi="Times New Roman" w:cs="Times New Roman"/>
          <w:kern w:val="0"/>
          <w:lang w:val="uk-UA"/>
        </w:rPr>
        <w:t xml:space="preserve"> ремонт </w:t>
      </w:r>
      <w:proofErr w:type="spellStart"/>
      <w:r w:rsidRPr="004229C1">
        <w:rPr>
          <w:rFonts w:ascii="Times New Roman" w:hAnsi="Times New Roman" w:cs="Times New Roman"/>
          <w:kern w:val="0"/>
          <w:lang w:val="uk-UA"/>
        </w:rPr>
        <w:t>вхiдних</w:t>
      </w:r>
      <w:proofErr w:type="spellEnd"/>
      <w:r w:rsidRPr="004229C1">
        <w:rPr>
          <w:rFonts w:ascii="Times New Roman" w:hAnsi="Times New Roman" w:cs="Times New Roman"/>
          <w:kern w:val="0"/>
          <w:lang w:val="uk-UA"/>
        </w:rPr>
        <w:t xml:space="preserve"> груп на </w:t>
      </w:r>
      <w:proofErr w:type="spellStart"/>
      <w:r w:rsidRPr="004229C1">
        <w:rPr>
          <w:rFonts w:ascii="Times New Roman" w:hAnsi="Times New Roman" w:cs="Times New Roman"/>
          <w:kern w:val="0"/>
          <w:lang w:val="uk-UA"/>
        </w:rPr>
        <w:t>вiддiленнях</w:t>
      </w:r>
      <w:proofErr w:type="spellEnd"/>
      <w:r w:rsidRPr="004229C1">
        <w:rPr>
          <w:rFonts w:ascii="Times New Roman" w:hAnsi="Times New Roman" w:cs="Times New Roman"/>
          <w:kern w:val="0"/>
          <w:lang w:val="uk-UA"/>
        </w:rPr>
        <w:t xml:space="preserve"> та в офісах Банку.</w:t>
      </w:r>
    </w:p>
    <w:p w14:paraId="6FAFEEC2"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p>
    <w:p w14:paraId="7344EDB1"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 xml:space="preserve">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w:t>
      </w:r>
      <w:proofErr w:type="spellStart"/>
      <w:r w:rsidRPr="004229C1">
        <w:rPr>
          <w:rFonts w:ascii="Times New Roman" w:hAnsi="Times New Roman" w:cs="Times New Roman"/>
          <w:b/>
          <w:bCs/>
          <w:kern w:val="0"/>
          <w:lang w:val="uk-UA"/>
        </w:rPr>
        <w:t>потужностей</w:t>
      </w:r>
      <w:proofErr w:type="spellEnd"/>
      <w:r w:rsidRPr="004229C1">
        <w:rPr>
          <w:rFonts w:ascii="Times New Roman" w:hAnsi="Times New Roman" w:cs="Times New Roman"/>
          <w:b/>
          <w:bCs/>
          <w:kern w:val="0"/>
          <w:lang w:val="uk-UA"/>
        </w:rPr>
        <w:t xml:space="preserve"> після її завершення.</w:t>
      </w:r>
    </w:p>
    <w:p w14:paraId="6177DF3F"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p>
    <w:p w14:paraId="2AC592BE"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Станом на 31.12.2024 року у </w:t>
      </w:r>
      <w:proofErr w:type="spellStart"/>
      <w:r w:rsidRPr="004229C1">
        <w:rPr>
          <w:rFonts w:ascii="Times New Roman" w:hAnsi="Times New Roman" w:cs="Times New Roman"/>
          <w:kern w:val="0"/>
          <w:lang w:val="uk-UA"/>
        </w:rPr>
        <w:t>власностi</w:t>
      </w:r>
      <w:proofErr w:type="spellEnd"/>
      <w:r w:rsidRPr="004229C1">
        <w:rPr>
          <w:rFonts w:ascii="Times New Roman" w:hAnsi="Times New Roman" w:cs="Times New Roman"/>
          <w:kern w:val="0"/>
          <w:lang w:val="uk-UA"/>
        </w:rPr>
        <w:t xml:space="preserve"> Банку знаходилося 77 об'єктів нерухомого майна (75 будівель, приміщень та 2 земельні ділянки).</w:t>
      </w:r>
    </w:p>
    <w:p w14:paraId="789B4B67"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Крiм</w:t>
      </w:r>
      <w:proofErr w:type="spellEnd"/>
      <w:r w:rsidRPr="004229C1">
        <w:rPr>
          <w:rFonts w:ascii="Times New Roman" w:hAnsi="Times New Roman" w:cs="Times New Roman"/>
          <w:kern w:val="0"/>
          <w:lang w:val="uk-UA"/>
        </w:rPr>
        <w:t xml:space="preserve"> того, на </w:t>
      </w:r>
      <w:proofErr w:type="spellStart"/>
      <w:r w:rsidRPr="004229C1">
        <w:rPr>
          <w:rFonts w:ascii="Times New Roman" w:hAnsi="Times New Roman" w:cs="Times New Roman"/>
          <w:kern w:val="0"/>
          <w:lang w:val="uk-UA"/>
        </w:rPr>
        <w:t>непiдконтрольних</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територiях</w:t>
      </w:r>
      <w:proofErr w:type="spellEnd"/>
      <w:r w:rsidRPr="004229C1">
        <w:rPr>
          <w:rFonts w:ascii="Times New Roman" w:hAnsi="Times New Roman" w:cs="Times New Roman"/>
          <w:kern w:val="0"/>
          <w:lang w:val="uk-UA"/>
        </w:rPr>
        <w:t xml:space="preserve"> України та на територіях з активними бойовими діями знаходяться 16 об'єктів нерухомого майна (3 будівлі, приміщення та 13 земельних ділянок).</w:t>
      </w:r>
    </w:p>
    <w:p w14:paraId="78A89A16"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p>
    <w:p w14:paraId="772C3EF1"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bookmarkStart w:id="10" w:name="_Hlk192680534"/>
      <w:r w:rsidRPr="004229C1">
        <w:rPr>
          <w:rFonts w:ascii="Times New Roman" w:hAnsi="Times New Roman" w:cs="Times New Roman"/>
          <w:kern w:val="0"/>
          <w:lang w:val="uk-UA"/>
        </w:rPr>
        <w:t xml:space="preserve">Станом на 01.01.2024 року кількість </w:t>
      </w:r>
      <w:proofErr w:type="spellStart"/>
      <w:r w:rsidRPr="004229C1">
        <w:rPr>
          <w:rFonts w:ascii="Times New Roman" w:hAnsi="Times New Roman" w:cs="Times New Roman"/>
          <w:kern w:val="0"/>
          <w:lang w:val="uk-UA"/>
        </w:rPr>
        <w:t>активiв</w:t>
      </w:r>
      <w:proofErr w:type="spellEnd"/>
      <w:r w:rsidRPr="004229C1">
        <w:rPr>
          <w:rFonts w:ascii="Times New Roman" w:hAnsi="Times New Roman" w:cs="Times New Roman"/>
          <w:kern w:val="0"/>
          <w:lang w:val="uk-UA"/>
        </w:rPr>
        <w:t xml:space="preserve"> з права користування складала </w:t>
      </w:r>
      <w:proofErr w:type="spellStart"/>
      <w:r w:rsidRPr="004229C1">
        <w:rPr>
          <w:rFonts w:ascii="Times New Roman" w:hAnsi="Times New Roman" w:cs="Times New Roman"/>
          <w:kern w:val="0"/>
          <w:lang w:val="uk-UA"/>
        </w:rPr>
        <w:t>складала</w:t>
      </w:r>
      <w:proofErr w:type="spellEnd"/>
      <w:r w:rsidRPr="004229C1">
        <w:rPr>
          <w:rFonts w:ascii="Times New Roman" w:hAnsi="Times New Roman" w:cs="Times New Roman"/>
          <w:kern w:val="0"/>
          <w:lang w:val="uk-UA"/>
        </w:rPr>
        <w:t xml:space="preserve"> 44 об’єкти ( нерухоме майно -39, рухоме майно- 5).  Кількість </w:t>
      </w:r>
      <w:proofErr w:type="spellStart"/>
      <w:r w:rsidRPr="004229C1">
        <w:rPr>
          <w:rFonts w:ascii="Times New Roman" w:hAnsi="Times New Roman" w:cs="Times New Roman"/>
          <w:kern w:val="0"/>
          <w:lang w:val="uk-UA"/>
        </w:rPr>
        <w:t>активiв</w:t>
      </w:r>
      <w:proofErr w:type="spellEnd"/>
      <w:r w:rsidRPr="004229C1">
        <w:rPr>
          <w:rFonts w:ascii="Times New Roman" w:hAnsi="Times New Roman" w:cs="Times New Roman"/>
          <w:kern w:val="0"/>
          <w:lang w:val="uk-UA"/>
        </w:rPr>
        <w:t xml:space="preserve"> з права користування станом на 01.01.2025 року складала 36 об’єкти ( нерухоме майно -35, рухоме майно- 1). </w:t>
      </w:r>
    </w:p>
    <w:bookmarkEnd w:id="10"/>
    <w:p w14:paraId="7777949D"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p>
    <w:p w14:paraId="418D4EFC"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Операцій щодо основних засобів Банку, які б підпадали під визначення «значного правочину» за звітній період не було.</w:t>
      </w:r>
    </w:p>
    <w:p w14:paraId="651BEE70"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 звітному періоді екологічних питань, які б могли б позначитися на використанні основних засобів Банку, виявлено не було.  </w:t>
      </w:r>
    </w:p>
    <w:p w14:paraId="7B97372B" w14:textId="77777777" w:rsidR="00867A34" w:rsidRPr="004229C1" w:rsidRDefault="00867A34" w:rsidP="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Планів щодо капітального будівництва, розширення основних засобів Банку не було передбачено у звітному періоді.</w:t>
      </w:r>
    </w:p>
    <w:p w14:paraId="0D6EA68B" w14:textId="13AA0F4C" w:rsidR="002341BA" w:rsidRPr="004229C1" w:rsidRDefault="002341BA" w:rsidP="00412EFD">
      <w:pPr>
        <w:widowControl w:val="0"/>
        <w:autoSpaceDE w:val="0"/>
        <w:autoSpaceDN w:val="0"/>
        <w:adjustRightInd w:val="0"/>
        <w:spacing w:after="0" w:line="240" w:lineRule="auto"/>
        <w:jc w:val="both"/>
        <w:rPr>
          <w:rFonts w:ascii="Times New Roman" w:hAnsi="Times New Roman" w:cs="Times New Roman"/>
          <w:b/>
          <w:bCs/>
          <w:kern w:val="0"/>
          <w:lang w:val="uk-UA"/>
        </w:rPr>
      </w:pPr>
    </w:p>
    <w:p w14:paraId="365FA413"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12. Проблеми, які впливають на діяльність особи, в тому числі ступінь залежності від законодавчих або економічних обмежень.</w:t>
      </w:r>
    </w:p>
    <w:p w14:paraId="4ABE847F"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p>
    <w:p w14:paraId="377EE922" w14:textId="553313F5" w:rsidR="00412EFD" w:rsidRPr="004229C1" w:rsidRDefault="00867A34" w:rsidP="00412EFD">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Банк забезпечив та </w:t>
      </w:r>
      <w:proofErr w:type="spellStart"/>
      <w:r w:rsidRPr="004229C1">
        <w:rPr>
          <w:rFonts w:ascii="Times New Roman" w:hAnsi="Times New Roman" w:cs="Times New Roman"/>
          <w:kern w:val="0"/>
          <w:lang w:val="uk-UA"/>
        </w:rPr>
        <w:t>здiйснює</w:t>
      </w:r>
      <w:proofErr w:type="spellEnd"/>
      <w:r w:rsidRPr="004229C1">
        <w:rPr>
          <w:rFonts w:ascii="Times New Roman" w:hAnsi="Times New Roman" w:cs="Times New Roman"/>
          <w:kern w:val="0"/>
          <w:lang w:val="uk-UA"/>
        </w:rPr>
        <w:t xml:space="preserve"> свою безперервну </w:t>
      </w:r>
      <w:proofErr w:type="spellStart"/>
      <w:r w:rsidRPr="004229C1">
        <w:rPr>
          <w:rFonts w:ascii="Times New Roman" w:hAnsi="Times New Roman" w:cs="Times New Roman"/>
          <w:kern w:val="0"/>
          <w:lang w:val="uk-UA"/>
        </w:rPr>
        <w:t>дiяльнiсть</w:t>
      </w:r>
      <w:proofErr w:type="spellEnd"/>
      <w:r w:rsidRPr="004229C1">
        <w:rPr>
          <w:rFonts w:ascii="Times New Roman" w:hAnsi="Times New Roman" w:cs="Times New Roman"/>
          <w:kern w:val="0"/>
          <w:lang w:val="uk-UA"/>
        </w:rPr>
        <w:t xml:space="preserve"> в умовах повномасштабної </w:t>
      </w:r>
      <w:proofErr w:type="spellStart"/>
      <w:r w:rsidRPr="004229C1">
        <w:rPr>
          <w:rFonts w:ascii="Times New Roman" w:hAnsi="Times New Roman" w:cs="Times New Roman"/>
          <w:kern w:val="0"/>
          <w:lang w:val="uk-UA"/>
        </w:rPr>
        <w:t>вiйни</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росiї</w:t>
      </w:r>
      <w:proofErr w:type="spellEnd"/>
      <w:r w:rsidRPr="004229C1">
        <w:rPr>
          <w:rFonts w:ascii="Times New Roman" w:hAnsi="Times New Roman" w:cs="Times New Roman"/>
          <w:kern w:val="0"/>
          <w:lang w:val="uk-UA"/>
        </w:rPr>
        <w:t xml:space="preserve"> з Україною, що триває більше 3 років, та призвела до значних людських жертв, суттєвого переміщення населення, пошкодження інфраструктури, відключень електроенергії та значного порушення економічної діяльності в Україні в цілому. Це мало також негативний і тривалий вплив на політичне та бізнес-середовище в Україні, а саме через зростання інфляції, девальвації гривні, збільшення податкового навантаження, руйнування енергетичної інфраструктури, зростання тарифів, низький рівень відновлення ринку праці, суттєві зміни в монетарній політиці НБУ та на здатність багатьох суб'єктів господарювання продовжувати свою діяльність у звичайному режимі.</w:t>
      </w:r>
    </w:p>
    <w:p w14:paraId="1EA67824" w14:textId="77777777" w:rsidR="00867A34" w:rsidRPr="004229C1" w:rsidRDefault="00867A34" w:rsidP="00412EFD">
      <w:pPr>
        <w:widowControl w:val="0"/>
        <w:autoSpaceDE w:val="0"/>
        <w:autoSpaceDN w:val="0"/>
        <w:adjustRightInd w:val="0"/>
        <w:spacing w:after="0" w:line="240" w:lineRule="auto"/>
        <w:jc w:val="both"/>
        <w:rPr>
          <w:rFonts w:ascii="Times New Roman" w:hAnsi="Times New Roman" w:cs="Times New Roman"/>
          <w:b/>
          <w:bCs/>
          <w:kern w:val="0"/>
          <w:lang w:val="uk-UA"/>
        </w:rPr>
      </w:pPr>
    </w:p>
    <w:p w14:paraId="0E2641A6" w14:textId="77777777" w:rsidR="00412EFD" w:rsidRPr="004229C1" w:rsidRDefault="00412EFD" w:rsidP="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4E2BD736" w14:textId="77777777" w:rsidR="00412EFD" w:rsidRPr="004229C1" w:rsidRDefault="00412EFD">
      <w:pPr>
        <w:widowControl w:val="0"/>
        <w:autoSpaceDE w:val="0"/>
        <w:autoSpaceDN w:val="0"/>
        <w:adjustRightInd w:val="0"/>
        <w:spacing w:after="0" w:line="240" w:lineRule="auto"/>
        <w:jc w:val="both"/>
        <w:rPr>
          <w:rFonts w:ascii="Times New Roman" w:hAnsi="Times New Roman" w:cs="Times New Roman"/>
          <w:kern w:val="0"/>
          <w:lang w:val="uk-UA"/>
        </w:rPr>
      </w:pPr>
    </w:p>
    <w:p w14:paraId="4F7CE1DE" w14:textId="7E37BE3F" w:rsidR="002341BA" w:rsidRPr="004229C1" w:rsidRDefault="00867A3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Станом на 31 грудня 2024 року Банк мав </w:t>
      </w:r>
      <w:proofErr w:type="spellStart"/>
      <w:r w:rsidRPr="004229C1">
        <w:rPr>
          <w:rFonts w:ascii="Times New Roman" w:hAnsi="Times New Roman" w:cs="Times New Roman"/>
          <w:kern w:val="0"/>
          <w:lang w:val="uk-UA"/>
        </w:rPr>
        <w:t>капiтальнi</w:t>
      </w:r>
      <w:proofErr w:type="spellEnd"/>
      <w:r w:rsidRPr="004229C1">
        <w:rPr>
          <w:rFonts w:ascii="Times New Roman" w:hAnsi="Times New Roman" w:cs="Times New Roman"/>
          <w:kern w:val="0"/>
          <w:lang w:val="uk-UA"/>
        </w:rPr>
        <w:t xml:space="preserve"> зобов'язання, передбачені контрактами, щодо придбання нематеріальних активів на загальну суму 4 013 тис. грн. (на 31 грудня 2023 року - </w:t>
      </w:r>
      <w:proofErr w:type="spellStart"/>
      <w:r w:rsidRPr="004229C1">
        <w:rPr>
          <w:rFonts w:ascii="Times New Roman" w:hAnsi="Times New Roman" w:cs="Times New Roman"/>
          <w:kern w:val="0"/>
          <w:lang w:val="uk-UA"/>
        </w:rPr>
        <w:t>капiтальнi</w:t>
      </w:r>
      <w:proofErr w:type="spellEnd"/>
      <w:r w:rsidRPr="004229C1">
        <w:rPr>
          <w:rFonts w:ascii="Times New Roman" w:hAnsi="Times New Roman" w:cs="Times New Roman"/>
          <w:kern w:val="0"/>
          <w:lang w:val="uk-UA"/>
        </w:rPr>
        <w:t xml:space="preserve"> зобов'язання, передбачені контрактами, щодо придбання основних засобів на суму 1 147 тис. грн, нематеріальних активів на загальну суму 8 461 тис. грн)</w:t>
      </w:r>
    </w:p>
    <w:p w14:paraId="4791FB59" w14:textId="77777777" w:rsidR="00867A34" w:rsidRPr="004229C1" w:rsidRDefault="00867A34">
      <w:pPr>
        <w:widowControl w:val="0"/>
        <w:autoSpaceDE w:val="0"/>
        <w:autoSpaceDN w:val="0"/>
        <w:adjustRightInd w:val="0"/>
        <w:spacing w:after="0" w:line="240" w:lineRule="auto"/>
        <w:jc w:val="both"/>
        <w:rPr>
          <w:rFonts w:ascii="Times New Roman" w:hAnsi="Times New Roman" w:cs="Times New Roman"/>
          <w:kern w:val="0"/>
          <w:lang w:val="uk-UA"/>
        </w:rPr>
      </w:pPr>
    </w:p>
    <w:p w14:paraId="4C6F5A50" w14:textId="54E2E414" w:rsidR="007469BF" w:rsidRPr="004229C1" w:rsidRDefault="00412EFD">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 xml:space="preserve">14. </w:t>
      </w:r>
      <w:proofErr w:type="spellStart"/>
      <w:r w:rsidRPr="004229C1">
        <w:rPr>
          <w:rFonts w:ascii="Times New Roman" w:hAnsi="Times New Roman" w:cs="Times New Roman"/>
          <w:b/>
          <w:bCs/>
          <w:kern w:val="0"/>
          <w:lang w:val="uk-UA"/>
        </w:rPr>
        <w:t>Середньооблiкова</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чисельнiсть</w:t>
      </w:r>
      <w:proofErr w:type="spellEnd"/>
      <w:r w:rsidRPr="004229C1">
        <w:rPr>
          <w:rFonts w:ascii="Times New Roman" w:hAnsi="Times New Roman" w:cs="Times New Roman"/>
          <w:b/>
          <w:bCs/>
          <w:kern w:val="0"/>
          <w:lang w:val="uk-UA"/>
        </w:rPr>
        <w:t xml:space="preserve"> штатних </w:t>
      </w:r>
      <w:proofErr w:type="spellStart"/>
      <w:r w:rsidRPr="004229C1">
        <w:rPr>
          <w:rFonts w:ascii="Times New Roman" w:hAnsi="Times New Roman" w:cs="Times New Roman"/>
          <w:b/>
          <w:bCs/>
          <w:kern w:val="0"/>
          <w:lang w:val="uk-UA"/>
        </w:rPr>
        <w:t>працiвникiв</w:t>
      </w:r>
      <w:proofErr w:type="spellEnd"/>
      <w:r w:rsidRPr="004229C1">
        <w:rPr>
          <w:rFonts w:ascii="Times New Roman" w:hAnsi="Times New Roman" w:cs="Times New Roman"/>
          <w:b/>
          <w:bCs/>
          <w:kern w:val="0"/>
          <w:lang w:val="uk-UA"/>
        </w:rPr>
        <w:t xml:space="preserve"> особи, середня </w:t>
      </w:r>
      <w:proofErr w:type="spellStart"/>
      <w:r w:rsidRPr="004229C1">
        <w:rPr>
          <w:rFonts w:ascii="Times New Roman" w:hAnsi="Times New Roman" w:cs="Times New Roman"/>
          <w:b/>
          <w:bCs/>
          <w:kern w:val="0"/>
          <w:lang w:val="uk-UA"/>
        </w:rPr>
        <w:t>чисельнiсть</w:t>
      </w:r>
      <w:proofErr w:type="spellEnd"/>
      <w:r w:rsidRPr="004229C1">
        <w:rPr>
          <w:rFonts w:ascii="Times New Roman" w:hAnsi="Times New Roman" w:cs="Times New Roman"/>
          <w:b/>
          <w:bCs/>
          <w:kern w:val="0"/>
          <w:lang w:val="uk-UA"/>
        </w:rPr>
        <w:t xml:space="preserve"> позаштатних </w:t>
      </w:r>
      <w:proofErr w:type="spellStart"/>
      <w:r w:rsidRPr="004229C1">
        <w:rPr>
          <w:rFonts w:ascii="Times New Roman" w:hAnsi="Times New Roman" w:cs="Times New Roman"/>
          <w:b/>
          <w:bCs/>
          <w:kern w:val="0"/>
          <w:lang w:val="uk-UA"/>
        </w:rPr>
        <w:t>працiвникiв</w:t>
      </w:r>
      <w:proofErr w:type="spellEnd"/>
      <w:r w:rsidRPr="004229C1">
        <w:rPr>
          <w:rFonts w:ascii="Times New Roman" w:hAnsi="Times New Roman" w:cs="Times New Roman"/>
          <w:b/>
          <w:bCs/>
          <w:kern w:val="0"/>
          <w:lang w:val="uk-UA"/>
        </w:rPr>
        <w:t xml:space="preserve"> та </w:t>
      </w:r>
      <w:proofErr w:type="spellStart"/>
      <w:r w:rsidRPr="004229C1">
        <w:rPr>
          <w:rFonts w:ascii="Times New Roman" w:hAnsi="Times New Roman" w:cs="Times New Roman"/>
          <w:b/>
          <w:bCs/>
          <w:kern w:val="0"/>
          <w:lang w:val="uk-UA"/>
        </w:rPr>
        <w:t>осiб</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якi</w:t>
      </w:r>
      <w:proofErr w:type="spellEnd"/>
      <w:r w:rsidRPr="004229C1">
        <w:rPr>
          <w:rFonts w:ascii="Times New Roman" w:hAnsi="Times New Roman" w:cs="Times New Roman"/>
          <w:b/>
          <w:bCs/>
          <w:kern w:val="0"/>
          <w:lang w:val="uk-UA"/>
        </w:rPr>
        <w:t xml:space="preserve"> працюють за </w:t>
      </w:r>
      <w:proofErr w:type="spellStart"/>
      <w:r w:rsidRPr="004229C1">
        <w:rPr>
          <w:rFonts w:ascii="Times New Roman" w:hAnsi="Times New Roman" w:cs="Times New Roman"/>
          <w:b/>
          <w:bCs/>
          <w:kern w:val="0"/>
          <w:lang w:val="uk-UA"/>
        </w:rPr>
        <w:t>сумiсництвом</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чисельнiсть</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працiвникiв</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якi</w:t>
      </w:r>
      <w:proofErr w:type="spellEnd"/>
      <w:r w:rsidRPr="004229C1">
        <w:rPr>
          <w:rFonts w:ascii="Times New Roman" w:hAnsi="Times New Roman" w:cs="Times New Roman"/>
          <w:b/>
          <w:bCs/>
          <w:kern w:val="0"/>
          <w:lang w:val="uk-UA"/>
        </w:rPr>
        <w:t xml:space="preserve"> працюють на умовах неповного робочого часу (дня, тижня), </w:t>
      </w:r>
      <w:proofErr w:type="spellStart"/>
      <w:r w:rsidRPr="004229C1">
        <w:rPr>
          <w:rFonts w:ascii="Times New Roman" w:hAnsi="Times New Roman" w:cs="Times New Roman"/>
          <w:b/>
          <w:bCs/>
          <w:kern w:val="0"/>
          <w:lang w:val="uk-UA"/>
        </w:rPr>
        <w:t>розмiр</w:t>
      </w:r>
      <w:proofErr w:type="spellEnd"/>
      <w:r w:rsidRPr="004229C1">
        <w:rPr>
          <w:rFonts w:ascii="Times New Roman" w:hAnsi="Times New Roman" w:cs="Times New Roman"/>
          <w:b/>
          <w:bCs/>
          <w:kern w:val="0"/>
          <w:lang w:val="uk-UA"/>
        </w:rPr>
        <w:t xml:space="preserve"> фонду оплати </w:t>
      </w:r>
      <w:proofErr w:type="spellStart"/>
      <w:r w:rsidRPr="004229C1">
        <w:rPr>
          <w:rFonts w:ascii="Times New Roman" w:hAnsi="Times New Roman" w:cs="Times New Roman"/>
          <w:b/>
          <w:bCs/>
          <w:kern w:val="0"/>
          <w:lang w:val="uk-UA"/>
        </w:rPr>
        <w:t>працi</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Крiм</w:t>
      </w:r>
      <w:proofErr w:type="spellEnd"/>
      <w:r w:rsidRPr="004229C1">
        <w:rPr>
          <w:rFonts w:ascii="Times New Roman" w:hAnsi="Times New Roman" w:cs="Times New Roman"/>
          <w:b/>
          <w:bCs/>
          <w:kern w:val="0"/>
          <w:lang w:val="uk-UA"/>
        </w:rPr>
        <w:t xml:space="preserve"> того, зазначається про факти </w:t>
      </w:r>
      <w:proofErr w:type="spellStart"/>
      <w:r w:rsidRPr="004229C1">
        <w:rPr>
          <w:rFonts w:ascii="Times New Roman" w:hAnsi="Times New Roman" w:cs="Times New Roman"/>
          <w:b/>
          <w:bCs/>
          <w:kern w:val="0"/>
          <w:lang w:val="uk-UA"/>
        </w:rPr>
        <w:t>змiни</w:t>
      </w:r>
      <w:proofErr w:type="spellEnd"/>
      <w:r w:rsidRPr="004229C1">
        <w:rPr>
          <w:rFonts w:ascii="Times New Roman" w:hAnsi="Times New Roman" w:cs="Times New Roman"/>
          <w:b/>
          <w:bCs/>
          <w:kern w:val="0"/>
          <w:lang w:val="uk-UA"/>
        </w:rPr>
        <w:t xml:space="preserve"> </w:t>
      </w:r>
      <w:proofErr w:type="spellStart"/>
      <w:r w:rsidRPr="004229C1">
        <w:rPr>
          <w:rFonts w:ascii="Times New Roman" w:hAnsi="Times New Roman" w:cs="Times New Roman"/>
          <w:b/>
          <w:bCs/>
          <w:kern w:val="0"/>
          <w:lang w:val="uk-UA"/>
        </w:rPr>
        <w:t>розмiру</w:t>
      </w:r>
      <w:proofErr w:type="spellEnd"/>
      <w:r w:rsidRPr="004229C1">
        <w:rPr>
          <w:rFonts w:ascii="Times New Roman" w:hAnsi="Times New Roman" w:cs="Times New Roman"/>
          <w:b/>
          <w:bCs/>
          <w:kern w:val="0"/>
          <w:lang w:val="uk-UA"/>
        </w:rPr>
        <w:t xml:space="preserve"> фонду оплати </w:t>
      </w:r>
      <w:proofErr w:type="spellStart"/>
      <w:r w:rsidRPr="004229C1">
        <w:rPr>
          <w:rFonts w:ascii="Times New Roman" w:hAnsi="Times New Roman" w:cs="Times New Roman"/>
          <w:b/>
          <w:bCs/>
          <w:kern w:val="0"/>
          <w:lang w:val="uk-UA"/>
        </w:rPr>
        <w:t>працi</w:t>
      </w:r>
      <w:proofErr w:type="spellEnd"/>
      <w:r w:rsidRPr="004229C1">
        <w:rPr>
          <w:rFonts w:ascii="Times New Roman" w:hAnsi="Times New Roman" w:cs="Times New Roman"/>
          <w:b/>
          <w:bCs/>
          <w:kern w:val="0"/>
          <w:lang w:val="uk-UA"/>
        </w:rPr>
        <w:t xml:space="preserve">, його </w:t>
      </w:r>
      <w:proofErr w:type="spellStart"/>
      <w:r w:rsidRPr="004229C1">
        <w:rPr>
          <w:rFonts w:ascii="Times New Roman" w:hAnsi="Times New Roman" w:cs="Times New Roman"/>
          <w:b/>
          <w:bCs/>
          <w:kern w:val="0"/>
          <w:lang w:val="uk-UA"/>
        </w:rPr>
        <w:t>збiльшення</w:t>
      </w:r>
      <w:proofErr w:type="spellEnd"/>
      <w:r w:rsidRPr="004229C1">
        <w:rPr>
          <w:rFonts w:ascii="Times New Roman" w:hAnsi="Times New Roman" w:cs="Times New Roman"/>
          <w:b/>
          <w:bCs/>
          <w:kern w:val="0"/>
          <w:lang w:val="uk-UA"/>
        </w:rPr>
        <w:t xml:space="preserve"> або зменшення </w:t>
      </w:r>
      <w:proofErr w:type="spellStart"/>
      <w:r w:rsidRPr="004229C1">
        <w:rPr>
          <w:rFonts w:ascii="Times New Roman" w:hAnsi="Times New Roman" w:cs="Times New Roman"/>
          <w:b/>
          <w:bCs/>
          <w:kern w:val="0"/>
          <w:lang w:val="uk-UA"/>
        </w:rPr>
        <w:t>вiдносно</w:t>
      </w:r>
      <w:proofErr w:type="spellEnd"/>
      <w:r w:rsidRPr="004229C1">
        <w:rPr>
          <w:rFonts w:ascii="Times New Roman" w:hAnsi="Times New Roman" w:cs="Times New Roman"/>
          <w:b/>
          <w:bCs/>
          <w:kern w:val="0"/>
          <w:lang w:val="uk-UA"/>
        </w:rPr>
        <w:t xml:space="preserve"> попереднього року. </w:t>
      </w:r>
    </w:p>
    <w:p w14:paraId="66E87A83"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11E8DE0C"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Середньооблікова кількість штатних працівників (осіб) = 574</w:t>
      </w:r>
    </w:p>
    <w:p w14:paraId="2D9B3E6A" w14:textId="22DC2381"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Фонд оплати праці штатних працівників = 288 612 675,60 грн</w:t>
      </w:r>
    </w:p>
    <w:p w14:paraId="37B629FF"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p>
    <w:p w14:paraId="6275EC08"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 xml:space="preserve">Середньооблікова кількість працівників (осіб), які працюють за цивільно- правовими договорами = 8 </w:t>
      </w:r>
    </w:p>
    <w:p w14:paraId="60ECEB49"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Фонд оплати праці працівників, які працюють за цивільно- правовими договорами = 7 739 029,00 грн</w:t>
      </w:r>
    </w:p>
    <w:p w14:paraId="7C0B3D70"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p>
    <w:p w14:paraId="5640DD6F"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Середньооблікова кількість зовнішні сумісники = 1</w:t>
      </w:r>
    </w:p>
    <w:p w14:paraId="117BCCF5"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 xml:space="preserve">Фонд оплати праці зовнішніх сумісників = 356 998,84 грн </w:t>
      </w:r>
    </w:p>
    <w:p w14:paraId="5572A07B" w14:textId="77777777"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p>
    <w:p w14:paraId="2983617B" w14:textId="724ACF25" w:rsidR="00B7794C" w:rsidRPr="004229C1" w:rsidRDefault="00B7794C"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CYR" w:hAnsi="Times New Roman CYR" w:cs="Times New Roman CYR"/>
          <w:kern w:val="0"/>
          <w:lang w:val="uk-UA"/>
        </w:rPr>
        <w:t xml:space="preserve">У 2024 </w:t>
      </w:r>
      <w:proofErr w:type="spellStart"/>
      <w:r w:rsidRPr="004229C1">
        <w:rPr>
          <w:rFonts w:ascii="Times New Roman CYR" w:hAnsi="Times New Roman CYR" w:cs="Times New Roman CYR"/>
          <w:kern w:val="0"/>
          <w:lang w:val="uk-UA"/>
        </w:rPr>
        <w:t>роцi</w:t>
      </w:r>
      <w:proofErr w:type="spellEnd"/>
      <w:r w:rsidRPr="004229C1">
        <w:rPr>
          <w:rFonts w:ascii="Times New Roman CYR" w:hAnsi="Times New Roman CYR" w:cs="Times New Roman CYR"/>
          <w:kern w:val="0"/>
          <w:lang w:val="uk-UA"/>
        </w:rPr>
        <w:t xml:space="preserve"> фонд оплати </w:t>
      </w:r>
      <w:proofErr w:type="spellStart"/>
      <w:r w:rsidRPr="004229C1">
        <w:rPr>
          <w:rFonts w:ascii="Times New Roman CYR" w:hAnsi="Times New Roman CYR" w:cs="Times New Roman CYR"/>
          <w:kern w:val="0"/>
          <w:lang w:val="uk-UA"/>
        </w:rPr>
        <w:t>працi</w:t>
      </w:r>
      <w:proofErr w:type="spellEnd"/>
      <w:r w:rsidRPr="004229C1">
        <w:rPr>
          <w:rFonts w:ascii="Times New Roman CYR" w:hAnsi="Times New Roman CYR" w:cs="Times New Roman CYR"/>
          <w:kern w:val="0"/>
          <w:lang w:val="uk-UA"/>
        </w:rPr>
        <w:t xml:space="preserve"> штатних та позаштатних </w:t>
      </w:r>
      <w:proofErr w:type="spellStart"/>
      <w:r w:rsidRPr="004229C1">
        <w:rPr>
          <w:rFonts w:ascii="Times New Roman CYR" w:hAnsi="Times New Roman CYR" w:cs="Times New Roman CYR"/>
          <w:kern w:val="0"/>
          <w:lang w:val="uk-UA"/>
        </w:rPr>
        <w:t>працiвникiв</w:t>
      </w:r>
      <w:proofErr w:type="spellEnd"/>
      <w:r w:rsidRPr="004229C1">
        <w:rPr>
          <w:rFonts w:ascii="Times New Roman CYR" w:hAnsi="Times New Roman CYR" w:cs="Times New Roman CYR"/>
          <w:kern w:val="0"/>
          <w:lang w:val="uk-UA"/>
        </w:rPr>
        <w:t xml:space="preserve"> Банку склав 296 708 703,44 грн., що на 18 490 353,98 грн менше, </w:t>
      </w:r>
      <w:proofErr w:type="spellStart"/>
      <w:r w:rsidRPr="004229C1">
        <w:rPr>
          <w:rFonts w:ascii="Times New Roman CYR" w:hAnsi="Times New Roman CYR" w:cs="Times New Roman CYR"/>
          <w:kern w:val="0"/>
          <w:lang w:val="uk-UA"/>
        </w:rPr>
        <w:t>нiж</w:t>
      </w:r>
      <w:proofErr w:type="spellEnd"/>
      <w:r w:rsidRPr="004229C1">
        <w:rPr>
          <w:rFonts w:ascii="Times New Roman CYR" w:hAnsi="Times New Roman CYR" w:cs="Times New Roman CYR"/>
          <w:kern w:val="0"/>
          <w:lang w:val="uk-UA"/>
        </w:rPr>
        <w:t xml:space="preserve"> у 2023 </w:t>
      </w:r>
      <w:proofErr w:type="spellStart"/>
      <w:r w:rsidRPr="004229C1">
        <w:rPr>
          <w:rFonts w:ascii="Times New Roman CYR" w:hAnsi="Times New Roman CYR" w:cs="Times New Roman CYR"/>
          <w:kern w:val="0"/>
          <w:lang w:val="uk-UA"/>
        </w:rPr>
        <w:t>роцi</w:t>
      </w:r>
      <w:proofErr w:type="spellEnd"/>
      <w:r w:rsidRPr="004229C1">
        <w:rPr>
          <w:rFonts w:ascii="Times New Roman CYR" w:hAnsi="Times New Roman CYR" w:cs="Times New Roman CYR"/>
          <w:kern w:val="0"/>
          <w:lang w:val="uk-UA"/>
        </w:rPr>
        <w:t>.</w:t>
      </w:r>
    </w:p>
    <w:p w14:paraId="3B2FE094" w14:textId="77777777" w:rsidR="00A9545B" w:rsidRPr="004229C1" w:rsidRDefault="00A9545B"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p>
    <w:p w14:paraId="18D35890" w14:textId="53902229" w:rsidR="00A9545B" w:rsidRPr="004229C1" w:rsidRDefault="00A9545B" w:rsidP="00B7794C">
      <w:pPr>
        <w:widowControl w:val="0"/>
        <w:autoSpaceDE w:val="0"/>
        <w:autoSpaceDN w:val="0"/>
        <w:adjustRightInd w:val="0"/>
        <w:spacing w:after="0" w:line="240" w:lineRule="auto"/>
        <w:jc w:val="both"/>
        <w:rPr>
          <w:rFonts w:ascii="Times New Roman CYR" w:hAnsi="Times New Roman CYR" w:cs="Times New Roman CYR"/>
          <w:kern w:val="0"/>
          <w:lang w:val="uk-UA"/>
        </w:rPr>
      </w:pPr>
      <w:r w:rsidRPr="004229C1">
        <w:rPr>
          <w:rFonts w:ascii="Times New Roman" w:hAnsi="Times New Roman" w:cs="Times New Roman"/>
          <w:kern w:val="0"/>
          <w:lang w:val="uk-UA"/>
        </w:rPr>
        <w:t xml:space="preserve">Працівники, </w:t>
      </w:r>
      <w:proofErr w:type="spellStart"/>
      <w:r w:rsidRPr="004229C1">
        <w:rPr>
          <w:rFonts w:ascii="Times New Roman" w:hAnsi="Times New Roman" w:cs="Times New Roman"/>
          <w:kern w:val="0"/>
          <w:lang w:val="uk-UA"/>
        </w:rPr>
        <w:t>якi</w:t>
      </w:r>
      <w:proofErr w:type="spellEnd"/>
      <w:r w:rsidRPr="004229C1">
        <w:rPr>
          <w:rFonts w:ascii="Times New Roman" w:hAnsi="Times New Roman" w:cs="Times New Roman"/>
          <w:kern w:val="0"/>
          <w:lang w:val="uk-UA"/>
        </w:rPr>
        <w:t xml:space="preserve"> працюють на умовах неповного робочого часу (дня, тижня), відсутні</w:t>
      </w:r>
    </w:p>
    <w:p w14:paraId="42042A3D"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28150EF8" w14:textId="77777777" w:rsidR="00881CB3" w:rsidRPr="004229C1" w:rsidRDefault="00881CB3" w:rsidP="00881CB3">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15. Будь-які пропозиції щодо реорганізації з боку третіх осіб, що мали місце протягом звітного періоду, умови та результати цих пропозицій.</w:t>
      </w:r>
    </w:p>
    <w:p w14:paraId="04043726" w14:textId="77777777" w:rsidR="002341BA" w:rsidRPr="004229C1" w:rsidRDefault="002341BA" w:rsidP="00881CB3">
      <w:pPr>
        <w:widowControl w:val="0"/>
        <w:autoSpaceDE w:val="0"/>
        <w:autoSpaceDN w:val="0"/>
        <w:adjustRightInd w:val="0"/>
        <w:spacing w:after="0" w:line="240" w:lineRule="auto"/>
        <w:jc w:val="both"/>
        <w:rPr>
          <w:rFonts w:ascii="Times New Roman" w:hAnsi="Times New Roman" w:cs="Times New Roman"/>
          <w:b/>
          <w:bCs/>
          <w:kern w:val="0"/>
          <w:lang w:val="uk-UA"/>
        </w:rPr>
      </w:pPr>
    </w:p>
    <w:p w14:paraId="27E9D5D7" w14:textId="370A67C7" w:rsidR="00881CB3" w:rsidRPr="004229C1" w:rsidRDefault="00881CB3" w:rsidP="00881CB3">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Пропозицій щодо реорганізації Банку з боку третіх осіб протягом звітного періоду не надходили.</w:t>
      </w:r>
    </w:p>
    <w:p w14:paraId="7226AC89" w14:textId="77777777" w:rsidR="00881CB3" w:rsidRPr="004229C1" w:rsidRDefault="00881CB3" w:rsidP="00881CB3">
      <w:pPr>
        <w:widowControl w:val="0"/>
        <w:autoSpaceDE w:val="0"/>
        <w:autoSpaceDN w:val="0"/>
        <w:adjustRightInd w:val="0"/>
        <w:spacing w:after="0" w:line="240" w:lineRule="auto"/>
        <w:jc w:val="both"/>
        <w:rPr>
          <w:rFonts w:ascii="Times New Roman" w:hAnsi="Times New Roman" w:cs="Times New Roman"/>
          <w:b/>
          <w:bCs/>
          <w:kern w:val="0"/>
          <w:lang w:val="uk-UA"/>
        </w:rPr>
      </w:pPr>
    </w:p>
    <w:p w14:paraId="4AEC09BF" w14:textId="77777777" w:rsidR="00881CB3" w:rsidRPr="004229C1" w:rsidRDefault="00881CB3" w:rsidP="00881CB3">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16. Інша інформація, яка може бути істотною для оцінки стейкхолдерами фінансового стану та результатів діяльності особи.</w:t>
      </w:r>
    </w:p>
    <w:p w14:paraId="714228FE" w14:textId="77777777" w:rsidR="002341BA" w:rsidRPr="004229C1" w:rsidRDefault="002341BA" w:rsidP="00881CB3">
      <w:pPr>
        <w:widowControl w:val="0"/>
        <w:autoSpaceDE w:val="0"/>
        <w:autoSpaceDN w:val="0"/>
        <w:adjustRightInd w:val="0"/>
        <w:spacing w:after="0" w:line="240" w:lineRule="auto"/>
        <w:jc w:val="both"/>
        <w:rPr>
          <w:rFonts w:ascii="Times New Roman" w:hAnsi="Times New Roman" w:cs="Times New Roman"/>
          <w:b/>
          <w:bCs/>
          <w:kern w:val="0"/>
          <w:lang w:val="uk-UA"/>
        </w:rPr>
      </w:pPr>
    </w:p>
    <w:p w14:paraId="23E625D8" w14:textId="43A59651" w:rsidR="00881CB3" w:rsidRPr="004229C1" w:rsidRDefault="00881CB3" w:rsidP="00881CB3">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kern w:val="0"/>
          <w:lang w:val="uk-UA"/>
        </w:rPr>
        <w:t>Відсутня необхідність розкриття іншої інформації.</w:t>
      </w:r>
    </w:p>
    <w:p w14:paraId="116AAADE" w14:textId="77777777" w:rsidR="00881CB3" w:rsidRPr="004229C1" w:rsidRDefault="00881CB3">
      <w:pPr>
        <w:widowControl w:val="0"/>
        <w:autoSpaceDE w:val="0"/>
        <w:autoSpaceDN w:val="0"/>
        <w:adjustRightInd w:val="0"/>
        <w:spacing w:after="0" w:line="240" w:lineRule="auto"/>
        <w:jc w:val="both"/>
        <w:rPr>
          <w:rFonts w:ascii="Times New Roman" w:hAnsi="Times New Roman" w:cs="Times New Roman"/>
          <w:kern w:val="0"/>
          <w:lang w:val="uk-UA"/>
        </w:rPr>
      </w:pPr>
    </w:p>
    <w:p w14:paraId="661F00EF"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200"/>
      </w:tblGrid>
      <w:tr w:rsidR="007469BF" w:rsidRPr="004229C1" w14:paraId="50776938" w14:textId="77777777">
        <w:trPr>
          <w:trHeight w:val="200"/>
        </w:trPr>
        <w:tc>
          <w:tcPr>
            <w:tcW w:w="3155" w:type="dxa"/>
            <w:tcBorders>
              <w:top w:val="single" w:sz="6" w:space="0" w:color="auto"/>
              <w:bottom w:val="single" w:sz="6" w:space="0" w:color="auto"/>
              <w:right w:val="single" w:sz="6" w:space="0" w:color="auto"/>
            </w:tcBorders>
            <w:vAlign w:val="center"/>
          </w:tcPr>
          <w:p w14:paraId="4E73B20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4780C0C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316F97A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211914C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5A3F7BA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закінчення строку дії ліцензії (за наявності)</w:t>
            </w:r>
          </w:p>
        </w:tc>
      </w:tr>
      <w:tr w:rsidR="007469BF" w:rsidRPr="004229C1" w14:paraId="24381D04" w14:textId="77777777">
        <w:trPr>
          <w:trHeight w:val="200"/>
        </w:trPr>
        <w:tc>
          <w:tcPr>
            <w:tcW w:w="3155" w:type="dxa"/>
            <w:tcBorders>
              <w:top w:val="single" w:sz="6" w:space="0" w:color="auto"/>
              <w:bottom w:val="single" w:sz="6" w:space="0" w:color="auto"/>
              <w:right w:val="single" w:sz="6" w:space="0" w:color="auto"/>
            </w:tcBorders>
            <w:vAlign w:val="center"/>
          </w:tcPr>
          <w:p w14:paraId="100C61F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500" w:type="dxa"/>
            <w:tcBorders>
              <w:top w:val="single" w:sz="6" w:space="0" w:color="auto"/>
              <w:left w:val="single" w:sz="6" w:space="0" w:color="auto"/>
              <w:bottom w:val="single" w:sz="6" w:space="0" w:color="auto"/>
              <w:right w:val="single" w:sz="6" w:space="0" w:color="auto"/>
            </w:tcBorders>
            <w:vAlign w:val="center"/>
          </w:tcPr>
          <w:p w14:paraId="4617D5D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1065" w:type="dxa"/>
            <w:tcBorders>
              <w:top w:val="single" w:sz="6" w:space="0" w:color="auto"/>
              <w:left w:val="single" w:sz="6" w:space="0" w:color="auto"/>
              <w:bottom w:val="single" w:sz="6" w:space="0" w:color="auto"/>
              <w:right w:val="single" w:sz="6" w:space="0" w:color="auto"/>
            </w:tcBorders>
            <w:vAlign w:val="center"/>
          </w:tcPr>
          <w:p w14:paraId="1B72818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3000" w:type="dxa"/>
            <w:tcBorders>
              <w:top w:val="single" w:sz="6" w:space="0" w:color="auto"/>
              <w:left w:val="single" w:sz="6" w:space="0" w:color="auto"/>
              <w:bottom w:val="single" w:sz="6" w:space="0" w:color="auto"/>
              <w:right w:val="single" w:sz="6" w:space="0" w:color="auto"/>
            </w:tcBorders>
            <w:vAlign w:val="center"/>
          </w:tcPr>
          <w:p w14:paraId="12DFE04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1200" w:type="dxa"/>
            <w:tcBorders>
              <w:top w:val="single" w:sz="6" w:space="0" w:color="auto"/>
              <w:left w:val="single" w:sz="6" w:space="0" w:color="auto"/>
              <w:bottom w:val="single" w:sz="6" w:space="0" w:color="auto"/>
            </w:tcBorders>
            <w:vAlign w:val="center"/>
          </w:tcPr>
          <w:p w14:paraId="31ABBB2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r>
      <w:tr w:rsidR="007469BF" w:rsidRPr="004229C1" w14:paraId="478A0AF5" w14:textId="77777777">
        <w:trPr>
          <w:trHeight w:val="200"/>
        </w:trPr>
        <w:tc>
          <w:tcPr>
            <w:tcW w:w="3155" w:type="dxa"/>
            <w:tcBorders>
              <w:top w:val="single" w:sz="6" w:space="0" w:color="auto"/>
              <w:bottom w:val="single" w:sz="6" w:space="0" w:color="auto"/>
              <w:right w:val="single" w:sz="6" w:space="0" w:color="auto"/>
            </w:tcBorders>
          </w:tcPr>
          <w:p w14:paraId="00F82CB3" w14:textId="77777777" w:rsidR="00AB2EE3" w:rsidRPr="004229C1" w:rsidRDefault="00AB2EE3" w:rsidP="00AB2EE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Витяг з Державного реєстру </w:t>
            </w:r>
            <w:proofErr w:type="spellStart"/>
            <w:r w:rsidRPr="004229C1">
              <w:rPr>
                <w:rFonts w:ascii="Times New Roman" w:hAnsi="Times New Roman" w:cs="Times New Roman"/>
                <w:kern w:val="0"/>
                <w:sz w:val="22"/>
                <w:szCs w:val="22"/>
                <w:lang w:val="uk-UA"/>
              </w:rPr>
              <w:t>банкiв</w:t>
            </w:r>
            <w:proofErr w:type="spellEnd"/>
            <w:r w:rsidRPr="004229C1">
              <w:rPr>
                <w:rFonts w:ascii="Times New Roman" w:hAnsi="Times New Roman" w:cs="Times New Roman"/>
                <w:kern w:val="0"/>
                <w:sz w:val="22"/>
                <w:szCs w:val="22"/>
                <w:lang w:val="uk-UA"/>
              </w:rPr>
              <w:t xml:space="preserve"> (Запис у Державному </w:t>
            </w:r>
            <w:proofErr w:type="spellStart"/>
            <w:r w:rsidRPr="004229C1">
              <w:rPr>
                <w:rFonts w:ascii="Times New Roman" w:hAnsi="Times New Roman" w:cs="Times New Roman"/>
                <w:kern w:val="0"/>
                <w:sz w:val="22"/>
                <w:szCs w:val="22"/>
                <w:lang w:val="uk-UA"/>
              </w:rPr>
              <w:t>реєстрi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банкiв</w:t>
            </w:r>
            <w:proofErr w:type="spellEnd"/>
            <w:r w:rsidRPr="004229C1">
              <w:rPr>
                <w:rFonts w:ascii="Times New Roman" w:hAnsi="Times New Roman" w:cs="Times New Roman"/>
                <w:kern w:val="0"/>
                <w:sz w:val="22"/>
                <w:szCs w:val="22"/>
                <w:lang w:val="uk-UA"/>
              </w:rPr>
              <w:t xml:space="preserve"> про право юридичної особи на </w:t>
            </w:r>
            <w:proofErr w:type="spellStart"/>
            <w:r w:rsidRPr="004229C1">
              <w:rPr>
                <w:rFonts w:ascii="Times New Roman" w:hAnsi="Times New Roman" w:cs="Times New Roman"/>
                <w:kern w:val="0"/>
                <w:sz w:val="22"/>
                <w:szCs w:val="22"/>
                <w:lang w:val="uk-UA"/>
              </w:rPr>
              <w:t>здiйснення</w:t>
            </w:r>
            <w:proofErr w:type="spellEnd"/>
          </w:p>
          <w:p w14:paraId="17BDE55E" w14:textId="65301BCA" w:rsidR="007469BF" w:rsidRPr="004229C1" w:rsidRDefault="00AB2EE3" w:rsidP="00AB2EE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банкiвської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 Банківська ліцензія</w:t>
            </w:r>
          </w:p>
        </w:tc>
        <w:tc>
          <w:tcPr>
            <w:tcW w:w="1500" w:type="dxa"/>
            <w:tcBorders>
              <w:top w:val="single" w:sz="6" w:space="0" w:color="auto"/>
              <w:left w:val="single" w:sz="6" w:space="0" w:color="auto"/>
              <w:bottom w:val="single" w:sz="6" w:space="0" w:color="auto"/>
              <w:right w:val="single" w:sz="6" w:space="0" w:color="auto"/>
            </w:tcBorders>
          </w:tcPr>
          <w:p w14:paraId="6B15027D" w14:textId="60764237" w:rsidR="007469BF" w:rsidRPr="004229C1" w:rsidRDefault="00AB2EE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1065" w:type="dxa"/>
            <w:tcBorders>
              <w:top w:val="single" w:sz="6" w:space="0" w:color="auto"/>
              <w:left w:val="single" w:sz="6" w:space="0" w:color="auto"/>
              <w:bottom w:val="single" w:sz="6" w:space="0" w:color="auto"/>
              <w:right w:val="single" w:sz="6" w:space="0" w:color="auto"/>
            </w:tcBorders>
          </w:tcPr>
          <w:p w14:paraId="200D7038" w14:textId="5CF8D54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16.08.</w:t>
            </w:r>
            <w:r w:rsidR="007A1BE6" w:rsidRPr="004229C1">
              <w:rPr>
                <w:rFonts w:ascii="Times New Roman" w:hAnsi="Times New Roman" w:cs="Times New Roman"/>
                <w:kern w:val="0"/>
                <w:sz w:val="22"/>
                <w:szCs w:val="22"/>
                <w:lang w:val="uk-UA"/>
              </w:rPr>
              <w:t>2021</w:t>
            </w:r>
          </w:p>
        </w:tc>
        <w:tc>
          <w:tcPr>
            <w:tcW w:w="3000" w:type="dxa"/>
            <w:tcBorders>
              <w:top w:val="single" w:sz="6" w:space="0" w:color="auto"/>
              <w:left w:val="single" w:sz="6" w:space="0" w:color="auto"/>
              <w:bottom w:val="single" w:sz="6" w:space="0" w:color="auto"/>
              <w:right w:val="single" w:sz="6" w:space="0" w:color="auto"/>
            </w:tcBorders>
          </w:tcPr>
          <w:p w14:paraId="3E96E31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Нацiональний</w:t>
            </w:r>
            <w:proofErr w:type="spellEnd"/>
            <w:r w:rsidRPr="004229C1">
              <w:rPr>
                <w:rFonts w:ascii="Times New Roman" w:hAnsi="Times New Roman" w:cs="Times New Roman"/>
                <w:kern w:val="0"/>
                <w:sz w:val="22"/>
                <w:szCs w:val="22"/>
                <w:lang w:val="uk-UA"/>
              </w:rPr>
              <w:t xml:space="preserve"> банк України</w:t>
            </w:r>
          </w:p>
        </w:tc>
        <w:tc>
          <w:tcPr>
            <w:tcW w:w="1200" w:type="dxa"/>
            <w:tcBorders>
              <w:top w:val="single" w:sz="6" w:space="0" w:color="auto"/>
              <w:left w:val="single" w:sz="6" w:space="0" w:color="auto"/>
              <w:bottom w:val="single" w:sz="6" w:space="0" w:color="auto"/>
            </w:tcBorders>
          </w:tcPr>
          <w:p w14:paraId="3D92E5E3"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8A4919" w:rsidRPr="004229C1" w14:paraId="0D905DE8" w14:textId="77777777">
        <w:trPr>
          <w:trHeight w:val="200"/>
        </w:trPr>
        <w:tc>
          <w:tcPr>
            <w:tcW w:w="3155" w:type="dxa"/>
            <w:tcBorders>
              <w:top w:val="single" w:sz="6" w:space="0" w:color="auto"/>
              <w:bottom w:val="single" w:sz="6" w:space="0" w:color="auto"/>
              <w:right w:val="single" w:sz="6" w:space="0" w:color="auto"/>
            </w:tcBorders>
          </w:tcPr>
          <w:p w14:paraId="15D33C83" w14:textId="511AF556"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на ринках капіталу з торгівлі фінансовими інструментами, що передбачає дилерську </w:t>
            </w:r>
            <w:proofErr w:type="spellStart"/>
            <w:r w:rsidRPr="004229C1">
              <w:rPr>
                <w:rFonts w:ascii="Times New Roman" w:hAnsi="Times New Roman" w:cs="Times New Roman"/>
                <w:kern w:val="0"/>
                <w:sz w:val="22"/>
                <w:szCs w:val="22"/>
                <w:lang w:val="uk-UA"/>
              </w:rPr>
              <w:t>дiяльнiсть</w:t>
            </w:r>
            <w:proofErr w:type="spellEnd"/>
          </w:p>
        </w:tc>
        <w:tc>
          <w:tcPr>
            <w:tcW w:w="1500" w:type="dxa"/>
            <w:tcBorders>
              <w:top w:val="single" w:sz="6" w:space="0" w:color="auto"/>
              <w:left w:val="single" w:sz="6" w:space="0" w:color="auto"/>
              <w:bottom w:val="single" w:sz="6" w:space="0" w:color="auto"/>
              <w:right w:val="single" w:sz="6" w:space="0" w:color="auto"/>
            </w:tcBorders>
          </w:tcPr>
          <w:p w14:paraId="63C52975"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 595</w:t>
            </w:r>
          </w:p>
        </w:tc>
        <w:tc>
          <w:tcPr>
            <w:tcW w:w="1065" w:type="dxa"/>
            <w:tcBorders>
              <w:top w:val="single" w:sz="6" w:space="0" w:color="auto"/>
              <w:left w:val="single" w:sz="6" w:space="0" w:color="auto"/>
              <w:bottom w:val="single" w:sz="6" w:space="0" w:color="auto"/>
              <w:right w:val="single" w:sz="6" w:space="0" w:color="auto"/>
            </w:tcBorders>
          </w:tcPr>
          <w:p w14:paraId="1DD44C5E"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21.08.2017</w:t>
            </w:r>
          </w:p>
        </w:tc>
        <w:tc>
          <w:tcPr>
            <w:tcW w:w="3000" w:type="dxa"/>
            <w:tcBorders>
              <w:top w:val="single" w:sz="6" w:space="0" w:color="auto"/>
              <w:left w:val="single" w:sz="6" w:space="0" w:color="auto"/>
              <w:bottom w:val="single" w:sz="6" w:space="0" w:color="auto"/>
              <w:right w:val="single" w:sz="6" w:space="0" w:color="auto"/>
            </w:tcBorders>
          </w:tcPr>
          <w:p w14:paraId="748263F9"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c>
          <w:tcPr>
            <w:tcW w:w="1200" w:type="dxa"/>
            <w:tcBorders>
              <w:top w:val="single" w:sz="6" w:space="0" w:color="auto"/>
              <w:left w:val="single" w:sz="6" w:space="0" w:color="auto"/>
              <w:bottom w:val="single" w:sz="6" w:space="0" w:color="auto"/>
            </w:tcBorders>
          </w:tcPr>
          <w:p w14:paraId="49423FA4"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8A4919" w:rsidRPr="004229C1" w14:paraId="59BC3EB3" w14:textId="77777777">
        <w:trPr>
          <w:trHeight w:val="200"/>
        </w:trPr>
        <w:tc>
          <w:tcPr>
            <w:tcW w:w="3155" w:type="dxa"/>
            <w:tcBorders>
              <w:top w:val="single" w:sz="6" w:space="0" w:color="auto"/>
              <w:bottom w:val="single" w:sz="6" w:space="0" w:color="auto"/>
              <w:right w:val="single" w:sz="6" w:space="0" w:color="auto"/>
            </w:tcBorders>
          </w:tcPr>
          <w:p w14:paraId="766F5343" w14:textId="1242B75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на фондовому ринку - депозитарна </w:t>
            </w:r>
            <w:proofErr w:type="spellStart"/>
            <w:r w:rsidRPr="004229C1">
              <w:rPr>
                <w:rFonts w:ascii="Times New Roman" w:hAnsi="Times New Roman" w:cs="Times New Roman"/>
                <w:kern w:val="0"/>
                <w:sz w:val="22"/>
                <w:szCs w:val="22"/>
                <w:lang w:val="uk-UA"/>
              </w:rPr>
              <w:t>дiяльність</w:t>
            </w:r>
            <w:proofErr w:type="spellEnd"/>
            <w:r w:rsidRPr="004229C1">
              <w:rPr>
                <w:rFonts w:ascii="Times New Roman" w:hAnsi="Times New Roman" w:cs="Times New Roman"/>
                <w:kern w:val="0"/>
                <w:sz w:val="22"/>
                <w:szCs w:val="22"/>
                <w:lang w:val="uk-UA"/>
              </w:rPr>
              <w:t xml:space="preserve">. Депозитарна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депозитарної установи</w:t>
            </w:r>
          </w:p>
        </w:tc>
        <w:tc>
          <w:tcPr>
            <w:tcW w:w="1500" w:type="dxa"/>
            <w:tcBorders>
              <w:top w:val="single" w:sz="6" w:space="0" w:color="auto"/>
              <w:left w:val="single" w:sz="6" w:space="0" w:color="auto"/>
              <w:bottom w:val="single" w:sz="6" w:space="0" w:color="auto"/>
              <w:right w:val="single" w:sz="6" w:space="0" w:color="auto"/>
            </w:tcBorders>
          </w:tcPr>
          <w:p w14:paraId="27DA2435"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АЕ № 286534</w:t>
            </w:r>
          </w:p>
        </w:tc>
        <w:tc>
          <w:tcPr>
            <w:tcW w:w="1065" w:type="dxa"/>
            <w:tcBorders>
              <w:top w:val="single" w:sz="6" w:space="0" w:color="auto"/>
              <w:left w:val="single" w:sz="6" w:space="0" w:color="auto"/>
              <w:bottom w:val="single" w:sz="6" w:space="0" w:color="auto"/>
              <w:right w:val="single" w:sz="6" w:space="0" w:color="auto"/>
            </w:tcBorders>
          </w:tcPr>
          <w:p w14:paraId="76ABCA43"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08.10.2013</w:t>
            </w:r>
          </w:p>
        </w:tc>
        <w:tc>
          <w:tcPr>
            <w:tcW w:w="3000" w:type="dxa"/>
            <w:tcBorders>
              <w:top w:val="single" w:sz="6" w:space="0" w:color="auto"/>
              <w:left w:val="single" w:sz="6" w:space="0" w:color="auto"/>
              <w:bottom w:val="single" w:sz="6" w:space="0" w:color="auto"/>
              <w:right w:val="single" w:sz="6" w:space="0" w:color="auto"/>
            </w:tcBorders>
          </w:tcPr>
          <w:p w14:paraId="377B5158"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c>
          <w:tcPr>
            <w:tcW w:w="1200" w:type="dxa"/>
            <w:tcBorders>
              <w:top w:val="single" w:sz="6" w:space="0" w:color="auto"/>
              <w:left w:val="single" w:sz="6" w:space="0" w:color="auto"/>
              <w:bottom w:val="single" w:sz="6" w:space="0" w:color="auto"/>
            </w:tcBorders>
          </w:tcPr>
          <w:p w14:paraId="10EC711E"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8A4919" w:rsidRPr="004229C1" w14:paraId="7BD8773A" w14:textId="77777777">
        <w:trPr>
          <w:trHeight w:val="200"/>
        </w:trPr>
        <w:tc>
          <w:tcPr>
            <w:tcW w:w="3155" w:type="dxa"/>
            <w:tcBorders>
              <w:top w:val="single" w:sz="6" w:space="0" w:color="auto"/>
              <w:bottom w:val="single" w:sz="6" w:space="0" w:color="auto"/>
              <w:right w:val="single" w:sz="6" w:space="0" w:color="auto"/>
            </w:tcBorders>
          </w:tcPr>
          <w:p w14:paraId="25BE38B6" w14:textId="248048F1"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на ринках капіталу з торгівлі фінансовими інструментами, що передбачає </w:t>
            </w:r>
            <w:proofErr w:type="spellStart"/>
            <w:r w:rsidRPr="004229C1">
              <w:rPr>
                <w:rFonts w:ascii="Times New Roman" w:hAnsi="Times New Roman" w:cs="Times New Roman"/>
                <w:kern w:val="0"/>
                <w:sz w:val="22"/>
                <w:szCs w:val="22"/>
                <w:lang w:val="uk-UA"/>
              </w:rPr>
              <w:t>субброкерську</w:t>
            </w:r>
            <w:proofErr w:type="spellEnd"/>
            <w:r w:rsidRPr="004229C1">
              <w:rPr>
                <w:rFonts w:ascii="Times New Roman" w:hAnsi="Times New Roman" w:cs="Times New Roman"/>
                <w:kern w:val="0"/>
                <w:sz w:val="22"/>
                <w:szCs w:val="22"/>
                <w:lang w:val="uk-UA"/>
              </w:rPr>
              <w:t xml:space="preserve"> діяльність і брокерську  </w:t>
            </w:r>
            <w:proofErr w:type="spellStart"/>
            <w:r w:rsidRPr="004229C1">
              <w:rPr>
                <w:rFonts w:ascii="Times New Roman" w:hAnsi="Times New Roman" w:cs="Times New Roman"/>
                <w:kern w:val="0"/>
                <w:sz w:val="22"/>
                <w:szCs w:val="22"/>
                <w:lang w:val="uk-UA"/>
              </w:rPr>
              <w:t>дiяльнiсть</w:t>
            </w:r>
            <w:proofErr w:type="spellEnd"/>
          </w:p>
        </w:tc>
        <w:tc>
          <w:tcPr>
            <w:tcW w:w="1500" w:type="dxa"/>
            <w:tcBorders>
              <w:top w:val="single" w:sz="6" w:space="0" w:color="auto"/>
              <w:left w:val="single" w:sz="6" w:space="0" w:color="auto"/>
              <w:bottom w:val="single" w:sz="6" w:space="0" w:color="auto"/>
              <w:right w:val="single" w:sz="6" w:space="0" w:color="auto"/>
            </w:tcBorders>
          </w:tcPr>
          <w:p w14:paraId="0D92763C"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 583</w:t>
            </w:r>
          </w:p>
        </w:tc>
        <w:tc>
          <w:tcPr>
            <w:tcW w:w="1065" w:type="dxa"/>
            <w:tcBorders>
              <w:top w:val="single" w:sz="6" w:space="0" w:color="auto"/>
              <w:left w:val="single" w:sz="6" w:space="0" w:color="auto"/>
              <w:bottom w:val="single" w:sz="6" w:space="0" w:color="auto"/>
              <w:right w:val="single" w:sz="6" w:space="0" w:color="auto"/>
            </w:tcBorders>
          </w:tcPr>
          <w:p w14:paraId="46CEA6A6"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28.08.2018</w:t>
            </w:r>
          </w:p>
        </w:tc>
        <w:tc>
          <w:tcPr>
            <w:tcW w:w="3000" w:type="dxa"/>
            <w:tcBorders>
              <w:top w:val="single" w:sz="6" w:space="0" w:color="auto"/>
              <w:left w:val="single" w:sz="6" w:space="0" w:color="auto"/>
              <w:bottom w:val="single" w:sz="6" w:space="0" w:color="auto"/>
              <w:right w:val="single" w:sz="6" w:space="0" w:color="auto"/>
            </w:tcBorders>
          </w:tcPr>
          <w:p w14:paraId="00DC19C2"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c>
          <w:tcPr>
            <w:tcW w:w="1200" w:type="dxa"/>
            <w:tcBorders>
              <w:top w:val="single" w:sz="6" w:space="0" w:color="auto"/>
              <w:left w:val="single" w:sz="6" w:space="0" w:color="auto"/>
              <w:bottom w:val="single" w:sz="6" w:space="0" w:color="auto"/>
            </w:tcBorders>
          </w:tcPr>
          <w:p w14:paraId="16D4C6B9" w14:textId="7777777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bl>
    <w:p w14:paraId="3A62F77A"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27442B97" w14:textId="77777777" w:rsidR="00867A34" w:rsidRPr="004229C1" w:rsidRDefault="00867A34" w:rsidP="00867A34">
      <w:pPr>
        <w:widowControl w:val="0"/>
        <w:autoSpaceDE w:val="0"/>
        <w:autoSpaceDN w:val="0"/>
        <w:adjustRightInd w:val="0"/>
        <w:spacing w:after="0" w:line="240" w:lineRule="auto"/>
        <w:rPr>
          <w:rFonts w:ascii="Times New Roman CYR" w:eastAsia="Times New Roman" w:hAnsi="Times New Roman CYR" w:cs="Times New Roman CYR"/>
          <w:color w:val="FF0000"/>
          <w:kern w:val="0"/>
          <w:lang w:val="uk-UA"/>
          <w14:ligatures w14:val="none"/>
        </w:rPr>
      </w:pPr>
      <w:r w:rsidRPr="004229C1">
        <w:rPr>
          <w:rFonts w:ascii="Times New Roman CYR" w:eastAsia="Times New Roman" w:hAnsi="Times New Roman CYR" w:cs="Times New Roman CYR"/>
          <w:b/>
          <w:bCs/>
          <w:kern w:val="0"/>
          <w:lang w:val="uk-UA"/>
          <w14:ligatures w14:val="none"/>
        </w:rPr>
        <w:t xml:space="preserve">Інформація про основні засоби (за залишковою вартістю)    </w:t>
      </w:r>
      <w:r w:rsidRPr="004229C1">
        <w:rPr>
          <w:rFonts w:ascii="Times New Roman CYR" w:eastAsia="Times New Roman" w:hAnsi="Times New Roman CYR" w:cs="Times New Roman CYR"/>
          <w:color w:val="FF0000"/>
          <w:kern w:val="0"/>
          <w:lang w:val="uk-UA"/>
          <w14:ligatures w14:val="none"/>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867A34" w:rsidRPr="004229C1" w14:paraId="6B83D642" w14:textId="77777777" w:rsidTr="00A54B2F">
        <w:trPr>
          <w:trHeight w:val="200"/>
        </w:trPr>
        <w:tc>
          <w:tcPr>
            <w:tcW w:w="3058" w:type="dxa"/>
            <w:vMerge w:val="restart"/>
            <w:tcBorders>
              <w:top w:val="single" w:sz="6" w:space="0" w:color="auto"/>
              <w:bottom w:val="single" w:sz="6" w:space="0" w:color="auto"/>
              <w:right w:val="single" w:sz="6" w:space="0" w:color="auto"/>
            </w:tcBorders>
            <w:vAlign w:val="center"/>
          </w:tcPr>
          <w:p w14:paraId="7D48FF9E"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74834057"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A4831D4"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6EAC8554"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Основні засоби, усього, тис. грн</w:t>
            </w:r>
          </w:p>
        </w:tc>
      </w:tr>
      <w:tr w:rsidR="00867A34" w:rsidRPr="004229C1" w14:paraId="04B46C59" w14:textId="77777777" w:rsidTr="00A54B2F">
        <w:trPr>
          <w:trHeight w:val="200"/>
        </w:trPr>
        <w:tc>
          <w:tcPr>
            <w:tcW w:w="3058" w:type="dxa"/>
            <w:vMerge/>
            <w:tcBorders>
              <w:top w:val="single" w:sz="6" w:space="0" w:color="auto"/>
              <w:bottom w:val="single" w:sz="6" w:space="0" w:color="auto"/>
              <w:right w:val="single" w:sz="6" w:space="0" w:color="auto"/>
            </w:tcBorders>
            <w:vAlign w:val="center"/>
          </w:tcPr>
          <w:p w14:paraId="3BBF8DCD"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p>
        </w:tc>
        <w:tc>
          <w:tcPr>
            <w:tcW w:w="1260" w:type="dxa"/>
            <w:tcBorders>
              <w:top w:val="single" w:sz="6" w:space="0" w:color="auto"/>
              <w:left w:val="single" w:sz="6" w:space="0" w:color="auto"/>
              <w:bottom w:val="single" w:sz="6" w:space="0" w:color="auto"/>
              <w:right w:val="single" w:sz="6" w:space="0" w:color="auto"/>
            </w:tcBorders>
            <w:vAlign w:val="center"/>
          </w:tcPr>
          <w:p w14:paraId="3EAFB3A2"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758B3699"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78BA893C"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272FB42A"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6C1F825A"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початок періоду</w:t>
            </w:r>
          </w:p>
        </w:tc>
        <w:tc>
          <w:tcPr>
            <w:tcW w:w="1082" w:type="dxa"/>
            <w:tcBorders>
              <w:top w:val="single" w:sz="6" w:space="0" w:color="auto"/>
              <w:left w:val="single" w:sz="6" w:space="0" w:color="auto"/>
              <w:bottom w:val="single" w:sz="6" w:space="0" w:color="auto"/>
            </w:tcBorders>
            <w:vAlign w:val="center"/>
          </w:tcPr>
          <w:p w14:paraId="0FD8A165" w14:textId="77777777" w:rsidR="00867A34" w:rsidRPr="004229C1" w:rsidRDefault="00867A34" w:rsidP="00867A34">
            <w:pPr>
              <w:widowControl w:val="0"/>
              <w:autoSpaceDE w:val="0"/>
              <w:autoSpaceDN w:val="0"/>
              <w:adjustRightInd w:val="0"/>
              <w:spacing w:after="0" w:line="240" w:lineRule="auto"/>
              <w:jc w:val="center"/>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на кінець періоду</w:t>
            </w:r>
          </w:p>
        </w:tc>
      </w:tr>
      <w:tr w:rsidR="00867A34" w:rsidRPr="004229C1" w14:paraId="227FF68A"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18AD3ED8"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495093E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390 176</w:t>
            </w:r>
          </w:p>
        </w:tc>
        <w:tc>
          <w:tcPr>
            <w:tcW w:w="1080" w:type="dxa"/>
            <w:tcBorders>
              <w:top w:val="single" w:sz="6" w:space="0" w:color="auto"/>
              <w:left w:val="single" w:sz="6" w:space="0" w:color="auto"/>
              <w:bottom w:val="single" w:sz="6" w:space="0" w:color="auto"/>
              <w:right w:val="single" w:sz="6" w:space="0" w:color="auto"/>
            </w:tcBorders>
          </w:tcPr>
          <w:p w14:paraId="3346B792"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431 429</w:t>
            </w:r>
          </w:p>
        </w:tc>
        <w:tc>
          <w:tcPr>
            <w:tcW w:w="1260" w:type="dxa"/>
            <w:tcBorders>
              <w:top w:val="single" w:sz="6" w:space="0" w:color="auto"/>
              <w:left w:val="single" w:sz="6" w:space="0" w:color="auto"/>
              <w:bottom w:val="single" w:sz="6" w:space="0" w:color="auto"/>
              <w:right w:val="single" w:sz="6" w:space="0" w:color="auto"/>
            </w:tcBorders>
            <w:vAlign w:val="center"/>
          </w:tcPr>
          <w:p w14:paraId="3AFD2DC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52 211</w:t>
            </w:r>
          </w:p>
        </w:tc>
        <w:tc>
          <w:tcPr>
            <w:tcW w:w="1080" w:type="dxa"/>
            <w:tcBorders>
              <w:top w:val="single" w:sz="6" w:space="0" w:color="auto"/>
              <w:left w:val="single" w:sz="6" w:space="0" w:color="auto"/>
              <w:bottom w:val="single" w:sz="6" w:space="0" w:color="auto"/>
              <w:right w:val="single" w:sz="6" w:space="0" w:color="auto"/>
            </w:tcBorders>
            <w:vAlign w:val="center"/>
          </w:tcPr>
          <w:p w14:paraId="1DD2586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36 811</w:t>
            </w:r>
          </w:p>
        </w:tc>
        <w:tc>
          <w:tcPr>
            <w:tcW w:w="1260" w:type="dxa"/>
            <w:tcBorders>
              <w:top w:val="single" w:sz="6" w:space="0" w:color="auto"/>
              <w:left w:val="single" w:sz="6" w:space="0" w:color="auto"/>
              <w:bottom w:val="single" w:sz="6" w:space="0" w:color="auto"/>
              <w:right w:val="single" w:sz="6" w:space="0" w:color="auto"/>
            </w:tcBorders>
            <w:vAlign w:val="center"/>
          </w:tcPr>
          <w:p w14:paraId="29954B5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442 387</w:t>
            </w:r>
          </w:p>
        </w:tc>
        <w:tc>
          <w:tcPr>
            <w:tcW w:w="1082" w:type="dxa"/>
            <w:tcBorders>
              <w:top w:val="single" w:sz="6" w:space="0" w:color="auto"/>
              <w:left w:val="single" w:sz="6" w:space="0" w:color="auto"/>
              <w:bottom w:val="single" w:sz="6" w:space="0" w:color="auto"/>
            </w:tcBorders>
            <w:vAlign w:val="center"/>
          </w:tcPr>
          <w:p w14:paraId="5F783B1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468 240</w:t>
            </w:r>
          </w:p>
        </w:tc>
      </w:tr>
      <w:tr w:rsidR="00867A34" w:rsidRPr="004229C1" w14:paraId="681A9EBF"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2221D869"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07780A8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309 075</w:t>
            </w:r>
          </w:p>
        </w:tc>
        <w:tc>
          <w:tcPr>
            <w:tcW w:w="1080" w:type="dxa"/>
            <w:tcBorders>
              <w:top w:val="single" w:sz="6" w:space="0" w:color="auto"/>
              <w:left w:val="single" w:sz="6" w:space="0" w:color="auto"/>
              <w:bottom w:val="single" w:sz="6" w:space="0" w:color="auto"/>
              <w:right w:val="single" w:sz="6" w:space="0" w:color="auto"/>
            </w:tcBorders>
          </w:tcPr>
          <w:p w14:paraId="2339142B"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346 168</w:t>
            </w:r>
          </w:p>
        </w:tc>
        <w:tc>
          <w:tcPr>
            <w:tcW w:w="1260" w:type="dxa"/>
            <w:tcBorders>
              <w:top w:val="single" w:sz="6" w:space="0" w:color="auto"/>
              <w:left w:val="single" w:sz="6" w:space="0" w:color="auto"/>
              <w:bottom w:val="single" w:sz="6" w:space="0" w:color="auto"/>
              <w:right w:val="single" w:sz="6" w:space="0" w:color="auto"/>
            </w:tcBorders>
            <w:vAlign w:val="center"/>
          </w:tcPr>
          <w:p w14:paraId="5FC78CC3"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49 483</w:t>
            </w:r>
          </w:p>
        </w:tc>
        <w:tc>
          <w:tcPr>
            <w:tcW w:w="1080" w:type="dxa"/>
            <w:tcBorders>
              <w:top w:val="single" w:sz="6" w:space="0" w:color="auto"/>
              <w:left w:val="single" w:sz="6" w:space="0" w:color="auto"/>
              <w:bottom w:val="single" w:sz="6" w:space="0" w:color="auto"/>
              <w:right w:val="single" w:sz="6" w:space="0" w:color="auto"/>
            </w:tcBorders>
            <w:vAlign w:val="center"/>
          </w:tcPr>
          <w:p w14:paraId="056FF833"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36 453</w:t>
            </w:r>
          </w:p>
        </w:tc>
        <w:tc>
          <w:tcPr>
            <w:tcW w:w="1260" w:type="dxa"/>
            <w:tcBorders>
              <w:top w:val="single" w:sz="6" w:space="0" w:color="auto"/>
              <w:left w:val="single" w:sz="6" w:space="0" w:color="auto"/>
              <w:bottom w:val="single" w:sz="6" w:space="0" w:color="auto"/>
              <w:right w:val="single" w:sz="6" w:space="0" w:color="auto"/>
            </w:tcBorders>
            <w:vAlign w:val="center"/>
          </w:tcPr>
          <w:p w14:paraId="33916A7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358 558</w:t>
            </w:r>
          </w:p>
        </w:tc>
        <w:tc>
          <w:tcPr>
            <w:tcW w:w="1082" w:type="dxa"/>
            <w:tcBorders>
              <w:top w:val="single" w:sz="6" w:space="0" w:color="auto"/>
              <w:left w:val="single" w:sz="6" w:space="0" w:color="auto"/>
              <w:bottom w:val="single" w:sz="6" w:space="0" w:color="auto"/>
            </w:tcBorders>
            <w:vAlign w:val="center"/>
          </w:tcPr>
          <w:p w14:paraId="6CADF19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382 621</w:t>
            </w:r>
          </w:p>
        </w:tc>
      </w:tr>
      <w:tr w:rsidR="00867A34" w:rsidRPr="004229C1" w14:paraId="450ED7F4"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604904B0"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6C45C51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78 809</w:t>
            </w:r>
          </w:p>
        </w:tc>
        <w:tc>
          <w:tcPr>
            <w:tcW w:w="1080" w:type="dxa"/>
            <w:tcBorders>
              <w:top w:val="single" w:sz="6" w:space="0" w:color="auto"/>
              <w:left w:val="single" w:sz="6" w:space="0" w:color="auto"/>
              <w:bottom w:val="single" w:sz="6" w:space="0" w:color="auto"/>
              <w:right w:val="single" w:sz="6" w:space="0" w:color="auto"/>
            </w:tcBorders>
          </w:tcPr>
          <w:p w14:paraId="4BA674BE"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83 421</w:t>
            </w:r>
          </w:p>
        </w:tc>
        <w:tc>
          <w:tcPr>
            <w:tcW w:w="1260" w:type="dxa"/>
            <w:tcBorders>
              <w:top w:val="single" w:sz="6" w:space="0" w:color="auto"/>
              <w:left w:val="single" w:sz="6" w:space="0" w:color="auto"/>
              <w:bottom w:val="single" w:sz="6" w:space="0" w:color="auto"/>
              <w:right w:val="single" w:sz="6" w:space="0" w:color="auto"/>
            </w:tcBorders>
            <w:vAlign w:val="center"/>
          </w:tcPr>
          <w:p w14:paraId="4BD98D3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740A676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4E2E4CCF"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78 809</w:t>
            </w:r>
          </w:p>
        </w:tc>
        <w:tc>
          <w:tcPr>
            <w:tcW w:w="1082" w:type="dxa"/>
            <w:tcBorders>
              <w:top w:val="single" w:sz="6" w:space="0" w:color="auto"/>
              <w:left w:val="single" w:sz="6" w:space="0" w:color="auto"/>
              <w:bottom w:val="single" w:sz="6" w:space="0" w:color="auto"/>
            </w:tcBorders>
          </w:tcPr>
          <w:p w14:paraId="6145926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83 421</w:t>
            </w:r>
          </w:p>
        </w:tc>
      </w:tr>
      <w:tr w:rsidR="00867A34" w:rsidRPr="004229C1" w14:paraId="73896441"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657F979C"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6AE8320E"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tcPr>
          <w:p w14:paraId="68D542FD"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5877C025"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2 728</w:t>
            </w:r>
          </w:p>
        </w:tc>
        <w:tc>
          <w:tcPr>
            <w:tcW w:w="1080" w:type="dxa"/>
            <w:tcBorders>
              <w:top w:val="single" w:sz="6" w:space="0" w:color="auto"/>
              <w:left w:val="single" w:sz="6" w:space="0" w:color="auto"/>
              <w:bottom w:val="single" w:sz="6" w:space="0" w:color="auto"/>
              <w:right w:val="single" w:sz="6" w:space="0" w:color="auto"/>
            </w:tcBorders>
            <w:vAlign w:val="center"/>
          </w:tcPr>
          <w:p w14:paraId="05133C4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358</w:t>
            </w:r>
          </w:p>
        </w:tc>
        <w:tc>
          <w:tcPr>
            <w:tcW w:w="1260" w:type="dxa"/>
            <w:tcBorders>
              <w:top w:val="single" w:sz="6" w:space="0" w:color="auto"/>
              <w:left w:val="single" w:sz="6" w:space="0" w:color="auto"/>
              <w:bottom w:val="single" w:sz="6" w:space="0" w:color="auto"/>
              <w:right w:val="single" w:sz="6" w:space="0" w:color="auto"/>
            </w:tcBorders>
            <w:vAlign w:val="center"/>
          </w:tcPr>
          <w:p w14:paraId="4DFC852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2 728</w:t>
            </w:r>
          </w:p>
        </w:tc>
        <w:tc>
          <w:tcPr>
            <w:tcW w:w="1082" w:type="dxa"/>
            <w:tcBorders>
              <w:top w:val="single" w:sz="6" w:space="0" w:color="auto"/>
              <w:left w:val="single" w:sz="6" w:space="0" w:color="auto"/>
              <w:bottom w:val="single" w:sz="6" w:space="0" w:color="auto"/>
            </w:tcBorders>
            <w:vAlign w:val="center"/>
          </w:tcPr>
          <w:p w14:paraId="6B8BF6D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358</w:t>
            </w:r>
          </w:p>
        </w:tc>
      </w:tr>
      <w:tr w:rsidR="00867A34" w:rsidRPr="004229C1" w14:paraId="0397A3A0"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78D7FCD5"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110B74E3"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257</w:t>
            </w:r>
          </w:p>
        </w:tc>
        <w:tc>
          <w:tcPr>
            <w:tcW w:w="1080" w:type="dxa"/>
            <w:tcBorders>
              <w:top w:val="single" w:sz="6" w:space="0" w:color="auto"/>
              <w:left w:val="single" w:sz="6" w:space="0" w:color="auto"/>
              <w:bottom w:val="single" w:sz="6" w:space="0" w:color="auto"/>
              <w:right w:val="single" w:sz="6" w:space="0" w:color="auto"/>
            </w:tcBorders>
          </w:tcPr>
          <w:p w14:paraId="7F8FE587"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257</w:t>
            </w:r>
          </w:p>
        </w:tc>
        <w:tc>
          <w:tcPr>
            <w:tcW w:w="1260" w:type="dxa"/>
            <w:tcBorders>
              <w:top w:val="single" w:sz="6" w:space="0" w:color="auto"/>
              <w:left w:val="single" w:sz="6" w:space="0" w:color="auto"/>
              <w:bottom w:val="single" w:sz="6" w:space="0" w:color="auto"/>
              <w:right w:val="single" w:sz="6" w:space="0" w:color="auto"/>
            </w:tcBorders>
            <w:vAlign w:val="center"/>
          </w:tcPr>
          <w:p w14:paraId="4E656DAB"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242D1C4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71A1A90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257</w:t>
            </w:r>
          </w:p>
        </w:tc>
        <w:tc>
          <w:tcPr>
            <w:tcW w:w="1082" w:type="dxa"/>
            <w:tcBorders>
              <w:top w:val="single" w:sz="6" w:space="0" w:color="auto"/>
              <w:left w:val="single" w:sz="6" w:space="0" w:color="auto"/>
              <w:bottom w:val="single" w:sz="6" w:space="0" w:color="auto"/>
            </w:tcBorders>
          </w:tcPr>
          <w:p w14:paraId="61DD587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257</w:t>
            </w:r>
          </w:p>
        </w:tc>
      </w:tr>
      <w:tr w:rsidR="00867A34" w:rsidRPr="004229C1" w14:paraId="3E9F68D8"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6B6CF528"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інші</w:t>
            </w:r>
          </w:p>
        </w:tc>
        <w:tc>
          <w:tcPr>
            <w:tcW w:w="1260" w:type="dxa"/>
            <w:tcBorders>
              <w:top w:val="single" w:sz="6" w:space="0" w:color="auto"/>
              <w:left w:val="single" w:sz="6" w:space="0" w:color="auto"/>
              <w:bottom w:val="single" w:sz="6" w:space="0" w:color="auto"/>
              <w:right w:val="single" w:sz="6" w:space="0" w:color="auto"/>
            </w:tcBorders>
            <w:vAlign w:val="center"/>
          </w:tcPr>
          <w:p w14:paraId="4E05FD0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2 035</w:t>
            </w:r>
          </w:p>
        </w:tc>
        <w:tc>
          <w:tcPr>
            <w:tcW w:w="1080" w:type="dxa"/>
            <w:tcBorders>
              <w:top w:val="single" w:sz="6" w:space="0" w:color="auto"/>
              <w:left w:val="single" w:sz="6" w:space="0" w:color="auto"/>
              <w:bottom w:val="single" w:sz="6" w:space="0" w:color="auto"/>
              <w:right w:val="single" w:sz="6" w:space="0" w:color="auto"/>
            </w:tcBorders>
          </w:tcPr>
          <w:p w14:paraId="56C925B3"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1 583</w:t>
            </w:r>
          </w:p>
        </w:tc>
        <w:tc>
          <w:tcPr>
            <w:tcW w:w="1260" w:type="dxa"/>
            <w:tcBorders>
              <w:top w:val="single" w:sz="6" w:space="0" w:color="auto"/>
              <w:left w:val="single" w:sz="6" w:space="0" w:color="auto"/>
              <w:bottom w:val="single" w:sz="6" w:space="0" w:color="auto"/>
              <w:right w:val="single" w:sz="6" w:space="0" w:color="auto"/>
            </w:tcBorders>
            <w:vAlign w:val="center"/>
          </w:tcPr>
          <w:p w14:paraId="7DB81F4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1B953CDE"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474CC22D"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2 035</w:t>
            </w:r>
          </w:p>
        </w:tc>
        <w:tc>
          <w:tcPr>
            <w:tcW w:w="1082" w:type="dxa"/>
            <w:tcBorders>
              <w:top w:val="single" w:sz="6" w:space="0" w:color="auto"/>
              <w:left w:val="single" w:sz="6" w:space="0" w:color="auto"/>
              <w:bottom w:val="single" w:sz="6" w:space="0" w:color="auto"/>
            </w:tcBorders>
          </w:tcPr>
          <w:p w14:paraId="66C214A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1 583</w:t>
            </w:r>
          </w:p>
        </w:tc>
      </w:tr>
      <w:tr w:rsidR="00867A34" w:rsidRPr="004229C1" w14:paraId="5115F1AC"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0485EAF5"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20936D3B"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5 551</w:t>
            </w:r>
          </w:p>
        </w:tc>
        <w:tc>
          <w:tcPr>
            <w:tcW w:w="1080" w:type="dxa"/>
            <w:tcBorders>
              <w:top w:val="single" w:sz="6" w:space="0" w:color="auto"/>
              <w:left w:val="single" w:sz="6" w:space="0" w:color="auto"/>
              <w:bottom w:val="single" w:sz="6" w:space="0" w:color="auto"/>
              <w:right w:val="single" w:sz="6" w:space="0" w:color="auto"/>
            </w:tcBorders>
            <w:vAlign w:val="center"/>
          </w:tcPr>
          <w:p w14:paraId="52D23B1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8 952</w:t>
            </w:r>
          </w:p>
        </w:tc>
        <w:tc>
          <w:tcPr>
            <w:tcW w:w="1260" w:type="dxa"/>
            <w:tcBorders>
              <w:top w:val="single" w:sz="6" w:space="0" w:color="auto"/>
              <w:left w:val="single" w:sz="6" w:space="0" w:color="auto"/>
              <w:bottom w:val="single" w:sz="6" w:space="0" w:color="auto"/>
              <w:right w:val="single" w:sz="6" w:space="0" w:color="auto"/>
            </w:tcBorders>
            <w:vAlign w:val="center"/>
          </w:tcPr>
          <w:p w14:paraId="6630AB5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742A9407"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207DC5CF"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5 551</w:t>
            </w:r>
          </w:p>
        </w:tc>
        <w:tc>
          <w:tcPr>
            <w:tcW w:w="1082" w:type="dxa"/>
            <w:tcBorders>
              <w:top w:val="single" w:sz="6" w:space="0" w:color="auto"/>
              <w:left w:val="single" w:sz="6" w:space="0" w:color="auto"/>
              <w:bottom w:val="single" w:sz="6" w:space="0" w:color="auto"/>
            </w:tcBorders>
            <w:vAlign w:val="center"/>
          </w:tcPr>
          <w:p w14:paraId="141A5405"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8 952</w:t>
            </w:r>
          </w:p>
        </w:tc>
      </w:tr>
      <w:tr w:rsidR="00867A34" w:rsidRPr="004229C1" w14:paraId="6063FF7F"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51E5339E"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60FA0FF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tcPr>
          <w:p w14:paraId="744328DB"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4F83474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7A515F7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1EC7D2FD"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c>
          <w:tcPr>
            <w:tcW w:w="1082" w:type="dxa"/>
            <w:tcBorders>
              <w:top w:val="single" w:sz="6" w:space="0" w:color="auto"/>
              <w:left w:val="single" w:sz="6" w:space="0" w:color="auto"/>
              <w:bottom w:val="single" w:sz="6" w:space="0" w:color="auto"/>
            </w:tcBorders>
            <w:vAlign w:val="center"/>
          </w:tcPr>
          <w:p w14:paraId="72F5F27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r>
      <w:tr w:rsidR="00867A34" w:rsidRPr="004229C1" w14:paraId="7F2401D6"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774D8892"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747D364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tcPr>
          <w:p w14:paraId="02986212"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2AF6EE0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5E168A2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21BF5543"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c>
          <w:tcPr>
            <w:tcW w:w="1082" w:type="dxa"/>
            <w:tcBorders>
              <w:top w:val="single" w:sz="6" w:space="0" w:color="auto"/>
              <w:left w:val="single" w:sz="6" w:space="0" w:color="auto"/>
              <w:bottom w:val="single" w:sz="6" w:space="0" w:color="auto"/>
            </w:tcBorders>
            <w:vAlign w:val="center"/>
          </w:tcPr>
          <w:p w14:paraId="4436A35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r>
      <w:tr w:rsidR="00867A34" w:rsidRPr="004229C1" w14:paraId="4669A568"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23675D6A"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4F7769EC"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tcPr>
          <w:p w14:paraId="33276857"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09DA90C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20F0B42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4D3B124E"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c>
          <w:tcPr>
            <w:tcW w:w="1082" w:type="dxa"/>
            <w:tcBorders>
              <w:top w:val="single" w:sz="6" w:space="0" w:color="auto"/>
              <w:left w:val="single" w:sz="6" w:space="0" w:color="auto"/>
              <w:bottom w:val="single" w:sz="6" w:space="0" w:color="auto"/>
            </w:tcBorders>
            <w:vAlign w:val="center"/>
          </w:tcPr>
          <w:p w14:paraId="6E3A1CA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r>
      <w:tr w:rsidR="00867A34" w:rsidRPr="004229C1" w14:paraId="2038D54C"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5DFB5AED"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0EDC0F4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tcPr>
          <w:p w14:paraId="2B425D0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2BF7874C"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520E397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06BF4F5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c>
          <w:tcPr>
            <w:tcW w:w="1082" w:type="dxa"/>
            <w:tcBorders>
              <w:top w:val="single" w:sz="6" w:space="0" w:color="auto"/>
              <w:left w:val="single" w:sz="6" w:space="0" w:color="auto"/>
              <w:bottom w:val="single" w:sz="6" w:space="0" w:color="auto"/>
            </w:tcBorders>
            <w:vAlign w:val="center"/>
          </w:tcPr>
          <w:p w14:paraId="74529C0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0</w:t>
            </w:r>
          </w:p>
        </w:tc>
      </w:tr>
      <w:tr w:rsidR="00867A34" w:rsidRPr="004229C1" w14:paraId="19878769"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3F5B77C9"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330F362F"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5 353</w:t>
            </w:r>
          </w:p>
        </w:tc>
        <w:tc>
          <w:tcPr>
            <w:tcW w:w="1080" w:type="dxa"/>
            <w:tcBorders>
              <w:top w:val="single" w:sz="6" w:space="0" w:color="auto"/>
              <w:left w:val="single" w:sz="6" w:space="0" w:color="auto"/>
              <w:bottom w:val="single" w:sz="6" w:space="0" w:color="auto"/>
              <w:right w:val="single" w:sz="6" w:space="0" w:color="auto"/>
            </w:tcBorders>
          </w:tcPr>
          <w:p w14:paraId="699E6C95"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8 821</w:t>
            </w:r>
          </w:p>
        </w:tc>
        <w:tc>
          <w:tcPr>
            <w:tcW w:w="1260" w:type="dxa"/>
            <w:tcBorders>
              <w:top w:val="single" w:sz="6" w:space="0" w:color="auto"/>
              <w:left w:val="single" w:sz="6" w:space="0" w:color="auto"/>
              <w:bottom w:val="single" w:sz="6" w:space="0" w:color="auto"/>
              <w:right w:val="single" w:sz="6" w:space="0" w:color="auto"/>
            </w:tcBorders>
            <w:vAlign w:val="center"/>
          </w:tcPr>
          <w:p w14:paraId="7DB88337"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2A8ED52F"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44953DD2"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5 353</w:t>
            </w:r>
          </w:p>
        </w:tc>
        <w:tc>
          <w:tcPr>
            <w:tcW w:w="1082" w:type="dxa"/>
            <w:tcBorders>
              <w:top w:val="single" w:sz="6" w:space="0" w:color="auto"/>
              <w:left w:val="single" w:sz="6" w:space="0" w:color="auto"/>
              <w:bottom w:val="single" w:sz="6" w:space="0" w:color="auto"/>
            </w:tcBorders>
          </w:tcPr>
          <w:p w14:paraId="2C7181A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8 821</w:t>
            </w:r>
          </w:p>
        </w:tc>
      </w:tr>
      <w:tr w:rsidR="00867A34" w:rsidRPr="004229C1" w14:paraId="36E6CC0F"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7F629345"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  інші</w:t>
            </w:r>
          </w:p>
        </w:tc>
        <w:tc>
          <w:tcPr>
            <w:tcW w:w="1260" w:type="dxa"/>
            <w:tcBorders>
              <w:top w:val="single" w:sz="6" w:space="0" w:color="auto"/>
              <w:left w:val="single" w:sz="6" w:space="0" w:color="auto"/>
              <w:bottom w:val="single" w:sz="6" w:space="0" w:color="auto"/>
              <w:right w:val="single" w:sz="6" w:space="0" w:color="auto"/>
            </w:tcBorders>
            <w:vAlign w:val="center"/>
          </w:tcPr>
          <w:p w14:paraId="03B8ACE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198</w:t>
            </w:r>
          </w:p>
        </w:tc>
        <w:tc>
          <w:tcPr>
            <w:tcW w:w="1080" w:type="dxa"/>
            <w:tcBorders>
              <w:top w:val="single" w:sz="6" w:space="0" w:color="auto"/>
              <w:left w:val="single" w:sz="6" w:space="0" w:color="auto"/>
              <w:bottom w:val="single" w:sz="6" w:space="0" w:color="auto"/>
              <w:right w:val="single" w:sz="6" w:space="0" w:color="auto"/>
            </w:tcBorders>
          </w:tcPr>
          <w:p w14:paraId="5ECD4CD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131</w:t>
            </w:r>
          </w:p>
        </w:tc>
        <w:tc>
          <w:tcPr>
            <w:tcW w:w="1260" w:type="dxa"/>
            <w:tcBorders>
              <w:top w:val="single" w:sz="6" w:space="0" w:color="auto"/>
              <w:left w:val="single" w:sz="6" w:space="0" w:color="auto"/>
              <w:bottom w:val="single" w:sz="6" w:space="0" w:color="auto"/>
              <w:right w:val="single" w:sz="6" w:space="0" w:color="auto"/>
            </w:tcBorders>
            <w:vAlign w:val="center"/>
          </w:tcPr>
          <w:p w14:paraId="0508CB4A"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080" w:type="dxa"/>
            <w:tcBorders>
              <w:top w:val="single" w:sz="6" w:space="0" w:color="auto"/>
              <w:left w:val="single" w:sz="6" w:space="0" w:color="auto"/>
              <w:bottom w:val="single" w:sz="6" w:space="0" w:color="auto"/>
              <w:right w:val="single" w:sz="6" w:space="0" w:color="auto"/>
            </w:tcBorders>
            <w:vAlign w:val="center"/>
          </w:tcPr>
          <w:p w14:paraId="3D6B95CC"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260" w:type="dxa"/>
            <w:tcBorders>
              <w:top w:val="single" w:sz="6" w:space="0" w:color="auto"/>
              <w:left w:val="single" w:sz="6" w:space="0" w:color="auto"/>
              <w:bottom w:val="single" w:sz="6" w:space="0" w:color="auto"/>
              <w:right w:val="single" w:sz="6" w:space="0" w:color="auto"/>
            </w:tcBorders>
            <w:vAlign w:val="center"/>
          </w:tcPr>
          <w:p w14:paraId="635E8AA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198</w:t>
            </w:r>
          </w:p>
        </w:tc>
        <w:tc>
          <w:tcPr>
            <w:tcW w:w="1082" w:type="dxa"/>
            <w:tcBorders>
              <w:top w:val="single" w:sz="6" w:space="0" w:color="auto"/>
              <w:left w:val="single" w:sz="6" w:space="0" w:color="auto"/>
              <w:bottom w:val="single" w:sz="6" w:space="0" w:color="auto"/>
            </w:tcBorders>
          </w:tcPr>
          <w:p w14:paraId="3CF8FBF5"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131</w:t>
            </w:r>
          </w:p>
        </w:tc>
      </w:tr>
      <w:tr w:rsidR="00867A34" w:rsidRPr="004229C1" w14:paraId="0445FC51" w14:textId="77777777" w:rsidTr="00A54B2F">
        <w:trPr>
          <w:trHeight w:val="200"/>
        </w:trPr>
        <w:tc>
          <w:tcPr>
            <w:tcW w:w="3058" w:type="dxa"/>
            <w:tcBorders>
              <w:top w:val="single" w:sz="6" w:space="0" w:color="auto"/>
              <w:bottom w:val="single" w:sz="6" w:space="0" w:color="auto"/>
              <w:right w:val="single" w:sz="6" w:space="0" w:color="auto"/>
            </w:tcBorders>
            <w:vAlign w:val="center"/>
          </w:tcPr>
          <w:p w14:paraId="4F2F1E0F" w14:textId="77777777" w:rsidR="00867A34" w:rsidRPr="004229C1" w:rsidRDefault="00867A34" w:rsidP="00867A34">
            <w:pPr>
              <w:widowControl w:val="0"/>
              <w:autoSpaceDE w:val="0"/>
              <w:autoSpaceDN w:val="0"/>
              <w:adjustRightInd w:val="0"/>
              <w:spacing w:after="0" w:line="240" w:lineRule="auto"/>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5DA111A5"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395 727</w:t>
            </w:r>
          </w:p>
        </w:tc>
        <w:tc>
          <w:tcPr>
            <w:tcW w:w="1080" w:type="dxa"/>
            <w:tcBorders>
              <w:top w:val="single" w:sz="6" w:space="0" w:color="auto"/>
              <w:left w:val="single" w:sz="6" w:space="0" w:color="auto"/>
              <w:bottom w:val="single" w:sz="6" w:space="0" w:color="auto"/>
              <w:right w:val="single" w:sz="6" w:space="0" w:color="auto"/>
            </w:tcBorders>
          </w:tcPr>
          <w:p w14:paraId="072ECBE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440 381</w:t>
            </w:r>
          </w:p>
        </w:tc>
        <w:tc>
          <w:tcPr>
            <w:tcW w:w="1260" w:type="dxa"/>
            <w:tcBorders>
              <w:top w:val="single" w:sz="6" w:space="0" w:color="auto"/>
              <w:left w:val="single" w:sz="6" w:space="0" w:color="auto"/>
              <w:bottom w:val="single" w:sz="6" w:space="0" w:color="auto"/>
              <w:right w:val="single" w:sz="6" w:space="0" w:color="auto"/>
            </w:tcBorders>
            <w:vAlign w:val="center"/>
          </w:tcPr>
          <w:p w14:paraId="294FF731"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52 211</w:t>
            </w:r>
          </w:p>
        </w:tc>
        <w:tc>
          <w:tcPr>
            <w:tcW w:w="1080" w:type="dxa"/>
            <w:tcBorders>
              <w:top w:val="single" w:sz="6" w:space="0" w:color="auto"/>
              <w:left w:val="single" w:sz="6" w:space="0" w:color="auto"/>
              <w:bottom w:val="single" w:sz="6" w:space="0" w:color="auto"/>
              <w:right w:val="single" w:sz="6" w:space="0" w:color="auto"/>
            </w:tcBorders>
            <w:vAlign w:val="center"/>
          </w:tcPr>
          <w:p w14:paraId="7BCAC9B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sz w:val="22"/>
                <w:szCs w:val="22"/>
                <w:lang w:val="uk-UA"/>
                <w14:ligatures w14:val="none"/>
              </w:rPr>
              <w:t>36 811</w:t>
            </w:r>
          </w:p>
        </w:tc>
        <w:tc>
          <w:tcPr>
            <w:tcW w:w="1260" w:type="dxa"/>
            <w:tcBorders>
              <w:top w:val="single" w:sz="6" w:space="0" w:color="auto"/>
              <w:left w:val="single" w:sz="6" w:space="0" w:color="auto"/>
              <w:bottom w:val="single" w:sz="6" w:space="0" w:color="auto"/>
              <w:right w:val="single" w:sz="6" w:space="0" w:color="auto"/>
            </w:tcBorders>
            <w:vAlign w:val="center"/>
          </w:tcPr>
          <w:p w14:paraId="2DA99D84"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447 938</w:t>
            </w:r>
          </w:p>
        </w:tc>
        <w:tc>
          <w:tcPr>
            <w:tcW w:w="1082" w:type="dxa"/>
            <w:tcBorders>
              <w:top w:val="single" w:sz="6" w:space="0" w:color="auto"/>
              <w:left w:val="single" w:sz="6" w:space="0" w:color="auto"/>
              <w:bottom w:val="single" w:sz="6" w:space="0" w:color="auto"/>
            </w:tcBorders>
            <w:vAlign w:val="center"/>
          </w:tcPr>
          <w:p w14:paraId="5F0CAC97"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477 192</w:t>
            </w:r>
          </w:p>
        </w:tc>
      </w:tr>
      <w:tr w:rsidR="00867A34" w:rsidRPr="004229C1" w14:paraId="37941F87" w14:textId="77777777" w:rsidTr="00A54B2F">
        <w:trPr>
          <w:trHeight w:val="200"/>
        </w:trPr>
        <w:tc>
          <w:tcPr>
            <w:tcW w:w="3058" w:type="dxa"/>
            <w:tcBorders>
              <w:top w:val="single" w:sz="6" w:space="0" w:color="auto"/>
              <w:bottom w:val="single" w:sz="6" w:space="0" w:color="auto"/>
              <w:right w:val="single" w:sz="6" w:space="0" w:color="auto"/>
            </w:tcBorders>
          </w:tcPr>
          <w:p w14:paraId="0BED72A4" w14:textId="77777777" w:rsidR="00867A34" w:rsidRPr="004229C1" w:rsidRDefault="00867A34" w:rsidP="00867A34">
            <w:pPr>
              <w:widowControl w:val="0"/>
              <w:autoSpaceDE w:val="0"/>
              <w:autoSpaceDN w:val="0"/>
              <w:adjustRightInd w:val="0"/>
              <w:spacing w:after="0" w:line="240" w:lineRule="auto"/>
              <w:rPr>
                <w:rFonts w:ascii="Times New Roman CYR" w:eastAsia="Times New Roman" w:hAnsi="Times New Roman CYR" w:cs="Times New Roman CYR"/>
                <w:kern w:val="0"/>
                <w:sz w:val="22"/>
                <w:szCs w:val="22"/>
                <w:lang w:val="uk-UA"/>
                <w14:ligatures w14:val="none"/>
              </w:rPr>
            </w:pPr>
            <w:r w:rsidRPr="004229C1">
              <w:rPr>
                <w:rFonts w:ascii="Times New Roman CYR" w:eastAsia="Times New Roman" w:hAnsi="Times New Roman CYR" w:cs="Times New Roman CYR"/>
                <w:kern w:val="0"/>
                <w:sz w:val="22"/>
                <w:szCs w:val="22"/>
                <w:lang w:val="uk-UA"/>
                <w14:ligatures w14:val="none"/>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2F53AE6F" w14:textId="77777777" w:rsidR="00867A34" w:rsidRPr="004229C1" w:rsidRDefault="00867A34" w:rsidP="00112BA4">
            <w:pPr>
              <w:spacing w:after="0" w:line="240" w:lineRule="auto"/>
              <w:rPr>
                <w:rFonts w:ascii="Times New Roman" w:eastAsia="Times New Roman" w:hAnsi="Times New Roman" w:cs="Times New Roman"/>
                <w:color w:val="000000"/>
                <w:sz w:val="22"/>
                <w:szCs w:val="22"/>
                <w:lang w:val="uk-UA" w:eastAsia="ru-RU"/>
                <w14:ligatures w14:val="none"/>
              </w:rPr>
            </w:pPr>
            <w:r w:rsidRPr="004229C1">
              <w:rPr>
                <w:rFonts w:ascii="Times New Roman" w:eastAsia="Times New Roman" w:hAnsi="Times New Roman" w:cs="Times New Roman"/>
                <w:color w:val="000000"/>
                <w:sz w:val="22"/>
                <w:szCs w:val="22"/>
                <w:lang w:val="uk-UA" w:eastAsia="ru-RU"/>
                <w14:ligatures w14:val="none"/>
              </w:rPr>
              <w:t xml:space="preserve">З 01 </w:t>
            </w:r>
            <w:proofErr w:type="spellStart"/>
            <w:r w:rsidRPr="004229C1">
              <w:rPr>
                <w:rFonts w:ascii="Times New Roman" w:eastAsia="Times New Roman" w:hAnsi="Times New Roman" w:cs="Times New Roman"/>
                <w:color w:val="000000"/>
                <w:sz w:val="22"/>
                <w:szCs w:val="22"/>
                <w:lang w:val="uk-UA" w:eastAsia="ru-RU"/>
                <w14:ligatures w14:val="none"/>
              </w:rPr>
              <w:t>сiчня</w:t>
            </w:r>
            <w:proofErr w:type="spellEnd"/>
            <w:r w:rsidRPr="004229C1">
              <w:rPr>
                <w:rFonts w:ascii="Times New Roman" w:eastAsia="Times New Roman" w:hAnsi="Times New Roman" w:cs="Times New Roman"/>
                <w:color w:val="000000"/>
                <w:sz w:val="22"/>
                <w:szCs w:val="22"/>
                <w:lang w:val="uk-UA" w:eastAsia="ru-RU"/>
                <w14:ligatures w14:val="none"/>
              </w:rPr>
              <w:t xml:space="preserve"> 2024 року </w:t>
            </w:r>
            <w:proofErr w:type="spellStart"/>
            <w:r w:rsidRPr="004229C1">
              <w:rPr>
                <w:rFonts w:ascii="Times New Roman" w:eastAsia="Times New Roman" w:hAnsi="Times New Roman" w:cs="Times New Roman"/>
                <w:color w:val="000000"/>
                <w:sz w:val="22"/>
                <w:szCs w:val="22"/>
                <w:lang w:val="uk-UA" w:eastAsia="ru-RU"/>
                <w14:ligatures w14:val="none"/>
              </w:rPr>
              <w:t>термiни</w:t>
            </w:r>
            <w:proofErr w:type="spellEnd"/>
            <w:r w:rsidRPr="004229C1">
              <w:rPr>
                <w:rFonts w:ascii="Times New Roman" w:eastAsia="Times New Roman" w:hAnsi="Times New Roman" w:cs="Times New Roman"/>
                <w:color w:val="000000"/>
                <w:sz w:val="22"/>
                <w:szCs w:val="22"/>
                <w:lang w:val="uk-UA" w:eastAsia="ru-RU"/>
                <w14:ligatures w14:val="none"/>
              </w:rPr>
              <w:t xml:space="preserve"> користування основними засобами (за основними групами) склали:</w:t>
            </w:r>
            <w:r w:rsidRPr="004229C1">
              <w:rPr>
                <w:rFonts w:ascii="Times New Roman" w:eastAsia="Times New Roman" w:hAnsi="Times New Roman" w:cs="Times New Roman"/>
                <w:color w:val="000000"/>
                <w:sz w:val="22"/>
                <w:szCs w:val="22"/>
                <w:lang w:val="uk-UA" w:eastAsia="ru-RU"/>
                <w14:ligatures w14:val="none"/>
              </w:rPr>
              <w:br/>
              <w:t xml:space="preserve">- 03 група основних </w:t>
            </w:r>
            <w:proofErr w:type="spellStart"/>
            <w:r w:rsidRPr="004229C1">
              <w:rPr>
                <w:rFonts w:ascii="Times New Roman" w:eastAsia="Times New Roman" w:hAnsi="Times New Roman" w:cs="Times New Roman"/>
                <w:color w:val="000000"/>
                <w:sz w:val="22"/>
                <w:szCs w:val="22"/>
                <w:lang w:val="uk-UA" w:eastAsia="ru-RU"/>
                <w14:ligatures w14:val="none"/>
              </w:rPr>
              <w:t>засобiв</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будiвлi</w:t>
            </w:r>
            <w:proofErr w:type="spellEnd"/>
            <w:r w:rsidRPr="004229C1">
              <w:rPr>
                <w:rFonts w:ascii="Times New Roman" w:eastAsia="Times New Roman" w:hAnsi="Times New Roman" w:cs="Times New Roman"/>
                <w:color w:val="000000"/>
                <w:sz w:val="22"/>
                <w:szCs w:val="22"/>
                <w:lang w:val="uk-UA" w:eastAsia="ru-RU"/>
                <w14:ligatures w14:val="none"/>
              </w:rPr>
              <w:t xml:space="preserve"> та споруди - 33,3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передавальнi</w:t>
            </w:r>
            <w:proofErr w:type="spellEnd"/>
            <w:r w:rsidRPr="004229C1">
              <w:rPr>
                <w:rFonts w:ascii="Times New Roman" w:eastAsia="Times New Roman" w:hAnsi="Times New Roman" w:cs="Times New Roman"/>
                <w:color w:val="000000"/>
                <w:sz w:val="22"/>
                <w:szCs w:val="22"/>
                <w:lang w:val="uk-UA" w:eastAsia="ru-RU"/>
                <w14:ligatures w14:val="none"/>
              </w:rPr>
              <w:t xml:space="preserve"> пристрої: </w:t>
            </w:r>
            <w:proofErr w:type="spellStart"/>
            <w:r w:rsidRPr="004229C1">
              <w:rPr>
                <w:rFonts w:ascii="Times New Roman" w:eastAsia="Times New Roman" w:hAnsi="Times New Roman" w:cs="Times New Roman"/>
                <w:color w:val="000000"/>
                <w:sz w:val="22"/>
                <w:szCs w:val="22"/>
                <w:lang w:val="uk-UA" w:eastAsia="ru-RU"/>
                <w14:ligatures w14:val="none"/>
              </w:rPr>
              <w:t>дизельнi</w:t>
            </w:r>
            <w:proofErr w:type="spellEnd"/>
            <w:r w:rsidRPr="004229C1">
              <w:rPr>
                <w:rFonts w:ascii="Times New Roman" w:eastAsia="Times New Roman" w:hAnsi="Times New Roman" w:cs="Times New Roman"/>
                <w:color w:val="000000"/>
                <w:sz w:val="22"/>
                <w:szCs w:val="22"/>
                <w:lang w:val="uk-UA" w:eastAsia="ru-RU"/>
                <w14:ligatures w14:val="none"/>
              </w:rPr>
              <w:t xml:space="preserve"> генератори, </w:t>
            </w:r>
            <w:proofErr w:type="spellStart"/>
            <w:r w:rsidRPr="004229C1">
              <w:rPr>
                <w:rFonts w:ascii="Times New Roman" w:eastAsia="Times New Roman" w:hAnsi="Times New Roman" w:cs="Times New Roman"/>
                <w:color w:val="000000"/>
                <w:sz w:val="22"/>
                <w:szCs w:val="22"/>
                <w:lang w:val="uk-UA" w:eastAsia="ru-RU"/>
                <w14:ligatures w14:val="none"/>
              </w:rPr>
              <w:t>лiнiї</w:t>
            </w:r>
            <w:proofErr w:type="spellEnd"/>
            <w:r w:rsidRPr="004229C1">
              <w:rPr>
                <w:rFonts w:ascii="Times New Roman" w:eastAsia="Times New Roman" w:hAnsi="Times New Roman" w:cs="Times New Roman"/>
                <w:color w:val="000000"/>
                <w:sz w:val="22"/>
                <w:szCs w:val="22"/>
                <w:lang w:val="uk-UA" w:eastAsia="ru-RU"/>
                <w14:ligatures w14:val="none"/>
              </w:rPr>
              <w:t xml:space="preserve"> зв’язку - 5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r w:rsidRPr="004229C1">
              <w:rPr>
                <w:rFonts w:ascii="Times New Roman" w:eastAsia="Times New Roman" w:hAnsi="Times New Roman" w:cs="Times New Roman"/>
                <w:color w:val="000000"/>
                <w:sz w:val="22"/>
                <w:szCs w:val="22"/>
                <w:lang w:val="uk-UA" w:eastAsia="ru-RU"/>
                <w14:ligatures w14:val="none"/>
              </w:rPr>
              <w:t>;</w:t>
            </w:r>
            <w:r w:rsidRPr="004229C1">
              <w:rPr>
                <w:rFonts w:ascii="Times New Roman" w:eastAsia="Times New Roman" w:hAnsi="Times New Roman" w:cs="Times New Roman"/>
                <w:color w:val="000000"/>
                <w:sz w:val="22"/>
                <w:szCs w:val="22"/>
                <w:lang w:val="uk-UA" w:eastAsia="ru-RU"/>
                <w14:ligatures w14:val="none"/>
              </w:rPr>
              <w:br/>
              <w:t xml:space="preserve">- 04 група основних </w:t>
            </w:r>
            <w:proofErr w:type="spellStart"/>
            <w:r w:rsidRPr="004229C1">
              <w:rPr>
                <w:rFonts w:ascii="Times New Roman" w:eastAsia="Times New Roman" w:hAnsi="Times New Roman" w:cs="Times New Roman"/>
                <w:color w:val="000000"/>
                <w:sz w:val="22"/>
                <w:szCs w:val="22"/>
                <w:lang w:val="uk-UA" w:eastAsia="ru-RU"/>
                <w14:ligatures w14:val="none"/>
              </w:rPr>
              <w:t>засобiв</w:t>
            </w:r>
            <w:proofErr w:type="spellEnd"/>
            <w:r w:rsidRPr="004229C1">
              <w:rPr>
                <w:rFonts w:ascii="Times New Roman" w:eastAsia="Times New Roman" w:hAnsi="Times New Roman" w:cs="Times New Roman"/>
                <w:color w:val="000000"/>
                <w:sz w:val="22"/>
                <w:szCs w:val="22"/>
                <w:lang w:val="uk-UA" w:eastAsia="ru-RU"/>
                <w14:ligatures w14:val="none"/>
              </w:rPr>
              <w:t xml:space="preserve">: (машини та обладнання) - </w:t>
            </w:r>
            <w:proofErr w:type="spellStart"/>
            <w:r w:rsidRPr="004229C1">
              <w:rPr>
                <w:rFonts w:ascii="Times New Roman" w:eastAsia="Times New Roman" w:hAnsi="Times New Roman" w:cs="Times New Roman"/>
                <w:color w:val="000000"/>
                <w:sz w:val="22"/>
                <w:szCs w:val="22"/>
                <w:lang w:val="uk-UA" w:eastAsia="ru-RU"/>
                <w14:ligatures w14:val="none"/>
              </w:rPr>
              <w:t>вiд</w:t>
            </w:r>
            <w:proofErr w:type="spellEnd"/>
            <w:r w:rsidRPr="004229C1">
              <w:rPr>
                <w:rFonts w:ascii="Times New Roman" w:eastAsia="Times New Roman" w:hAnsi="Times New Roman" w:cs="Times New Roman"/>
                <w:color w:val="000000"/>
                <w:sz w:val="22"/>
                <w:szCs w:val="22"/>
                <w:lang w:val="uk-UA" w:eastAsia="ru-RU"/>
                <w14:ligatures w14:val="none"/>
              </w:rPr>
              <w:t xml:space="preserve"> 4 до 10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r w:rsidRPr="004229C1">
              <w:rPr>
                <w:rFonts w:ascii="Times New Roman" w:eastAsia="Times New Roman" w:hAnsi="Times New Roman" w:cs="Times New Roman"/>
                <w:color w:val="000000"/>
                <w:sz w:val="22"/>
                <w:szCs w:val="22"/>
                <w:lang w:val="uk-UA" w:eastAsia="ru-RU"/>
                <w14:ligatures w14:val="none"/>
              </w:rPr>
              <w:t>;</w:t>
            </w:r>
            <w:r w:rsidRPr="004229C1">
              <w:rPr>
                <w:rFonts w:ascii="Times New Roman" w:eastAsia="Times New Roman" w:hAnsi="Times New Roman" w:cs="Times New Roman"/>
                <w:color w:val="000000"/>
                <w:sz w:val="22"/>
                <w:szCs w:val="22"/>
                <w:lang w:val="uk-UA" w:eastAsia="ru-RU"/>
                <w14:ligatures w14:val="none"/>
              </w:rPr>
              <w:br/>
              <w:t xml:space="preserve">- 05 група основних </w:t>
            </w:r>
            <w:proofErr w:type="spellStart"/>
            <w:r w:rsidRPr="004229C1">
              <w:rPr>
                <w:rFonts w:ascii="Times New Roman" w:eastAsia="Times New Roman" w:hAnsi="Times New Roman" w:cs="Times New Roman"/>
                <w:color w:val="000000"/>
                <w:sz w:val="22"/>
                <w:szCs w:val="22"/>
                <w:lang w:val="uk-UA" w:eastAsia="ru-RU"/>
                <w14:ligatures w14:val="none"/>
              </w:rPr>
              <w:t>засобiв</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транспортнi</w:t>
            </w:r>
            <w:proofErr w:type="spellEnd"/>
            <w:r w:rsidRPr="004229C1">
              <w:rPr>
                <w:rFonts w:ascii="Times New Roman" w:eastAsia="Times New Roman" w:hAnsi="Times New Roman" w:cs="Times New Roman"/>
                <w:color w:val="000000"/>
                <w:sz w:val="22"/>
                <w:szCs w:val="22"/>
                <w:lang w:val="uk-UA" w:eastAsia="ru-RU"/>
                <w14:ligatures w14:val="none"/>
              </w:rPr>
              <w:t xml:space="preserve"> засоби - 5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r w:rsidRPr="004229C1">
              <w:rPr>
                <w:rFonts w:ascii="Times New Roman" w:eastAsia="Times New Roman" w:hAnsi="Times New Roman" w:cs="Times New Roman"/>
                <w:color w:val="000000"/>
                <w:sz w:val="22"/>
                <w:szCs w:val="22"/>
                <w:lang w:val="uk-UA" w:eastAsia="ru-RU"/>
                <w14:ligatures w14:val="none"/>
              </w:rPr>
              <w:t>;</w:t>
            </w:r>
            <w:r w:rsidRPr="004229C1">
              <w:rPr>
                <w:rFonts w:ascii="Times New Roman" w:eastAsia="Times New Roman" w:hAnsi="Times New Roman" w:cs="Times New Roman"/>
                <w:color w:val="000000"/>
                <w:sz w:val="22"/>
                <w:szCs w:val="22"/>
                <w:lang w:val="uk-UA" w:eastAsia="ru-RU"/>
                <w14:ligatures w14:val="none"/>
              </w:rPr>
              <w:br/>
              <w:t xml:space="preserve">- 06 група основних </w:t>
            </w:r>
            <w:proofErr w:type="spellStart"/>
            <w:r w:rsidRPr="004229C1">
              <w:rPr>
                <w:rFonts w:ascii="Times New Roman" w:eastAsia="Times New Roman" w:hAnsi="Times New Roman" w:cs="Times New Roman"/>
                <w:color w:val="000000"/>
                <w:sz w:val="22"/>
                <w:szCs w:val="22"/>
                <w:lang w:val="uk-UA" w:eastAsia="ru-RU"/>
                <w14:ligatures w14:val="none"/>
              </w:rPr>
              <w:t>засобiв</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меблi</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стелажi</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електропобутовi</w:t>
            </w:r>
            <w:proofErr w:type="spellEnd"/>
            <w:r w:rsidRPr="004229C1">
              <w:rPr>
                <w:rFonts w:ascii="Times New Roman" w:eastAsia="Times New Roman" w:hAnsi="Times New Roman" w:cs="Times New Roman"/>
                <w:color w:val="000000"/>
                <w:sz w:val="22"/>
                <w:szCs w:val="22"/>
                <w:lang w:val="uk-UA" w:eastAsia="ru-RU"/>
                <w14:ligatures w14:val="none"/>
              </w:rPr>
              <w:t xml:space="preserve"> прилади – 8,33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r w:rsidRPr="004229C1">
              <w:rPr>
                <w:rFonts w:ascii="Times New Roman" w:eastAsia="Times New Roman" w:hAnsi="Times New Roman" w:cs="Times New Roman"/>
                <w:color w:val="000000"/>
                <w:sz w:val="22"/>
                <w:szCs w:val="22"/>
                <w:lang w:val="uk-UA" w:eastAsia="ru-RU"/>
                <w14:ligatures w14:val="none"/>
              </w:rPr>
              <w:t>;</w:t>
            </w:r>
            <w:r w:rsidRPr="004229C1">
              <w:rPr>
                <w:rFonts w:ascii="Times New Roman" w:eastAsia="Times New Roman" w:hAnsi="Times New Roman" w:cs="Times New Roman"/>
                <w:color w:val="000000"/>
                <w:sz w:val="22"/>
                <w:szCs w:val="22"/>
                <w:lang w:val="uk-UA" w:eastAsia="ru-RU"/>
                <w14:ligatures w14:val="none"/>
              </w:rPr>
              <w:br/>
              <w:t xml:space="preserve">- 09 група основних </w:t>
            </w:r>
            <w:proofErr w:type="spellStart"/>
            <w:r w:rsidRPr="004229C1">
              <w:rPr>
                <w:rFonts w:ascii="Times New Roman" w:eastAsia="Times New Roman" w:hAnsi="Times New Roman" w:cs="Times New Roman"/>
                <w:color w:val="000000"/>
                <w:sz w:val="22"/>
                <w:szCs w:val="22"/>
                <w:lang w:val="uk-UA" w:eastAsia="ru-RU"/>
                <w14:ligatures w14:val="none"/>
              </w:rPr>
              <w:t>засобiв</w:t>
            </w:r>
            <w:proofErr w:type="spellEnd"/>
            <w:r w:rsidRPr="004229C1">
              <w:rPr>
                <w:rFonts w:ascii="Times New Roman" w:eastAsia="Times New Roman" w:hAnsi="Times New Roman" w:cs="Times New Roman"/>
                <w:color w:val="000000"/>
                <w:sz w:val="22"/>
                <w:szCs w:val="22"/>
                <w:lang w:val="uk-UA" w:eastAsia="ru-RU"/>
                <w14:ligatures w14:val="none"/>
              </w:rPr>
              <w:t>: (</w:t>
            </w:r>
            <w:proofErr w:type="spellStart"/>
            <w:r w:rsidRPr="004229C1">
              <w:rPr>
                <w:rFonts w:ascii="Times New Roman" w:eastAsia="Times New Roman" w:hAnsi="Times New Roman" w:cs="Times New Roman"/>
                <w:color w:val="000000"/>
                <w:sz w:val="22"/>
                <w:szCs w:val="22"/>
                <w:lang w:val="uk-UA" w:eastAsia="ru-RU"/>
                <w14:ligatures w14:val="none"/>
              </w:rPr>
              <w:t>рекламнi</w:t>
            </w:r>
            <w:proofErr w:type="spellEnd"/>
            <w:r w:rsidRPr="004229C1">
              <w:rPr>
                <w:rFonts w:ascii="Times New Roman" w:eastAsia="Times New Roman" w:hAnsi="Times New Roman" w:cs="Times New Roman"/>
                <w:color w:val="000000"/>
                <w:sz w:val="22"/>
                <w:szCs w:val="22"/>
                <w:lang w:val="uk-UA" w:eastAsia="ru-RU"/>
                <w14:ligatures w14:val="none"/>
              </w:rPr>
              <w:t xml:space="preserve"> </w:t>
            </w:r>
            <w:proofErr w:type="spellStart"/>
            <w:r w:rsidRPr="004229C1">
              <w:rPr>
                <w:rFonts w:ascii="Times New Roman" w:eastAsia="Times New Roman" w:hAnsi="Times New Roman" w:cs="Times New Roman"/>
                <w:color w:val="000000"/>
                <w:sz w:val="22"/>
                <w:szCs w:val="22"/>
                <w:lang w:val="uk-UA" w:eastAsia="ru-RU"/>
                <w14:ligatures w14:val="none"/>
              </w:rPr>
              <w:t>вивiски</w:t>
            </w:r>
            <w:proofErr w:type="spellEnd"/>
            <w:r w:rsidRPr="004229C1">
              <w:rPr>
                <w:rFonts w:ascii="Times New Roman" w:eastAsia="Times New Roman" w:hAnsi="Times New Roman" w:cs="Times New Roman"/>
                <w:color w:val="000000"/>
                <w:sz w:val="22"/>
                <w:szCs w:val="22"/>
                <w:lang w:val="uk-UA" w:eastAsia="ru-RU"/>
                <w14:ligatures w14:val="none"/>
              </w:rPr>
              <w:t xml:space="preserve"> та інші ОЗ) – від 7 до 12 </w:t>
            </w:r>
            <w:proofErr w:type="spellStart"/>
            <w:r w:rsidRPr="004229C1">
              <w:rPr>
                <w:rFonts w:ascii="Times New Roman" w:eastAsia="Times New Roman" w:hAnsi="Times New Roman" w:cs="Times New Roman"/>
                <w:color w:val="000000"/>
                <w:sz w:val="22"/>
                <w:szCs w:val="22"/>
                <w:lang w:val="uk-UA" w:eastAsia="ru-RU"/>
                <w14:ligatures w14:val="none"/>
              </w:rPr>
              <w:t>рокiв</w:t>
            </w:r>
            <w:proofErr w:type="spellEnd"/>
          </w:p>
          <w:p w14:paraId="38579C49"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color w:val="000000"/>
                <w:kern w:val="0"/>
                <w:sz w:val="22"/>
                <w:szCs w:val="22"/>
                <w:lang w:val="uk-UA" w:eastAsia="ru-RU"/>
                <w14:ligatures w14:val="none"/>
              </w:rPr>
              <w:t xml:space="preserve">В </w:t>
            </w:r>
            <w:proofErr w:type="spellStart"/>
            <w:r w:rsidRPr="004229C1">
              <w:rPr>
                <w:rFonts w:ascii="Times New Roman" w:eastAsia="Times New Roman" w:hAnsi="Times New Roman" w:cs="Times New Roman"/>
                <w:color w:val="000000"/>
                <w:kern w:val="0"/>
                <w:sz w:val="22"/>
                <w:szCs w:val="22"/>
                <w:lang w:val="uk-UA" w:eastAsia="ru-RU"/>
                <w14:ligatures w14:val="none"/>
              </w:rPr>
              <w:t>структурi</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основних </w:t>
            </w:r>
            <w:proofErr w:type="spellStart"/>
            <w:r w:rsidRPr="004229C1">
              <w:rPr>
                <w:rFonts w:ascii="Times New Roman" w:eastAsia="Times New Roman" w:hAnsi="Times New Roman" w:cs="Times New Roman"/>
                <w:color w:val="000000"/>
                <w:kern w:val="0"/>
                <w:sz w:val="22"/>
                <w:szCs w:val="22"/>
                <w:lang w:val="uk-UA" w:eastAsia="ru-RU"/>
                <w14:ligatures w14:val="none"/>
              </w:rPr>
              <w:t>засобiв</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w:t>
            </w:r>
            <w:proofErr w:type="spellStart"/>
            <w:r w:rsidRPr="004229C1">
              <w:rPr>
                <w:rFonts w:ascii="Times New Roman" w:eastAsia="Times New Roman" w:hAnsi="Times New Roman" w:cs="Times New Roman"/>
                <w:color w:val="000000"/>
                <w:kern w:val="0"/>
                <w:sz w:val="22"/>
                <w:szCs w:val="22"/>
                <w:lang w:val="uk-UA" w:eastAsia="ru-RU"/>
                <w14:ligatures w14:val="none"/>
              </w:rPr>
              <w:t>далi</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-та/або ОЗ), методах нарахування </w:t>
            </w:r>
            <w:proofErr w:type="spellStart"/>
            <w:r w:rsidRPr="004229C1">
              <w:rPr>
                <w:rFonts w:ascii="Times New Roman" w:eastAsia="Times New Roman" w:hAnsi="Times New Roman" w:cs="Times New Roman"/>
                <w:color w:val="000000"/>
                <w:kern w:val="0"/>
                <w:sz w:val="22"/>
                <w:szCs w:val="22"/>
                <w:lang w:val="uk-UA" w:eastAsia="ru-RU"/>
                <w14:ligatures w14:val="none"/>
              </w:rPr>
              <w:t>амортизацiї</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ОЗ </w:t>
            </w:r>
            <w:proofErr w:type="spellStart"/>
            <w:r w:rsidRPr="004229C1">
              <w:rPr>
                <w:rFonts w:ascii="Times New Roman" w:eastAsia="Times New Roman" w:hAnsi="Times New Roman" w:cs="Times New Roman"/>
                <w:color w:val="000000"/>
                <w:kern w:val="0"/>
                <w:sz w:val="22"/>
                <w:szCs w:val="22"/>
                <w:lang w:val="uk-UA" w:eastAsia="ru-RU"/>
                <w14:ligatures w14:val="none"/>
              </w:rPr>
              <w:t>змiн</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не </w:t>
            </w:r>
            <w:proofErr w:type="spellStart"/>
            <w:r w:rsidRPr="004229C1">
              <w:rPr>
                <w:rFonts w:ascii="Times New Roman" w:eastAsia="Times New Roman" w:hAnsi="Times New Roman" w:cs="Times New Roman"/>
                <w:color w:val="000000"/>
                <w:kern w:val="0"/>
                <w:sz w:val="22"/>
                <w:szCs w:val="22"/>
                <w:lang w:val="uk-UA" w:eastAsia="ru-RU"/>
                <w14:ligatures w14:val="none"/>
              </w:rPr>
              <w:t>вiдбувалося</w:t>
            </w:r>
            <w:proofErr w:type="spellEnd"/>
            <w:r w:rsidRPr="004229C1">
              <w:rPr>
                <w:rFonts w:ascii="Times New Roman" w:eastAsia="Times New Roman" w:hAnsi="Times New Roman" w:cs="Times New Roman"/>
                <w:color w:val="000000"/>
                <w:kern w:val="0"/>
                <w:sz w:val="22"/>
                <w:szCs w:val="22"/>
                <w:lang w:val="uk-UA" w:eastAsia="ru-RU"/>
                <w14:ligatures w14:val="none"/>
              </w:rPr>
              <w:t>.</w:t>
            </w:r>
            <w:r w:rsidRPr="004229C1">
              <w:rPr>
                <w:rFonts w:ascii="Times New Roman" w:eastAsia="Times New Roman" w:hAnsi="Times New Roman" w:cs="Times New Roman"/>
                <w:color w:val="000000"/>
                <w:kern w:val="0"/>
                <w:sz w:val="22"/>
                <w:szCs w:val="22"/>
                <w:lang w:val="uk-UA" w:eastAsia="ru-RU"/>
                <w14:ligatures w14:val="none"/>
              </w:rPr>
              <w:br/>
              <w:t xml:space="preserve">Для нарахування </w:t>
            </w:r>
            <w:proofErr w:type="spellStart"/>
            <w:r w:rsidRPr="004229C1">
              <w:rPr>
                <w:rFonts w:ascii="Times New Roman" w:eastAsia="Times New Roman" w:hAnsi="Times New Roman" w:cs="Times New Roman"/>
                <w:color w:val="000000"/>
                <w:kern w:val="0"/>
                <w:sz w:val="22"/>
                <w:szCs w:val="22"/>
                <w:lang w:val="uk-UA" w:eastAsia="ru-RU"/>
                <w14:ligatures w14:val="none"/>
              </w:rPr>
              <w:t>амортизацiї</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основних </w:t>
            </w:r>
            <w:proofErr w:type="spellStart"/>
            <w:r w:rsidRPr="004229C1">
              <w:rPr>
                <w:rFonts w:ascii="Times New Roman" w:eastAsia="Times New Roman" w:hAnsi="Times New Roman" w:cs="Times New Roman"/>
                <w:color w:val="000000"/>
                <w:kern w:val="0"/>
                <w:sz w:val="22"/>
                <w:szCs w:val="22"/>
                <w:lang w:val="uk-UA" w:eastAsia="ru-RU"/>
                <w14:ligatures w14:val="none"/>
              </w:rPr>
              <w:t>засобiв</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використовується </w:t>
            </w:r>
            <w:proofErr w:type="spellStart"/>
            <w:r w:rsidRPr="004229C1">
              <w:rPr>
                <w:rFonts w:ascii="Times New Roman" w:eastAsia="Times New Roman" w:hAnsi="Times New Roman" w:cs="Times New Roman"/>
                <w:color w:val="000000"/>
                <w:kern w:val="0"/>
                <w:sz w:val="22"/>
                <w:szCs w:val="22"/>
                <w:lang w:val="uk-UA" w:eastAsia="ru-RU"/>
                <w14:ligatures w14:val="none"/>
              </w:rPr>
              <w:t>прямолiнiйний</w:t>
            </w:r>
            <w:proofErr w:type="spellEnd"/>
            <w:r w:rsidRPr="004229C1">
              <w:rPr>
                <w:rFonts w:ascii="Times New Roman" w:eastAsia="Times New Roman" w:hAnsi="Times New Roman" w:cs="Times New Roman"/>
                <w:color w:val="000000"/>
                <w:kern w:val="0"/>
                <w:sz w:val="22"/>
                <w:szCs w:val="22"/>
                <w:lang w:val="uk-UA" w:eastAsia="ru-RU"/>
                <w14:ligatures w14:val="none"/>
              </w:rPr>
              <w:t xml:space="preserve"> метод нарахування.</w:t>
            </w:r>
            <w:r w:rsidRPr="004229C1">
              <w:rPr>
                <w:rFonts w:ascii="Times New Roman" w:eastAsia="Times New Roman" w:hAnsi="Times New Roman" w:cs="Times New Roman"/>
                <w:color w:val="000000"/>
                <w:kern w:val="0"/>
                <w:sz w:val="22"/>
                <w:szCs w:val="22"/>
                <w:lang w:val="uk-UA" w:eastAsia="ru-RU"/>
                <w14:ligatures w14:val="none"/>
              </w:rPr>
              <w:br/>
            </w:r>
            <w:r w:rsidRPr="004229C1">
              <w:rPr>
                <w:rFonts w:ascii="Times New Roman" w:eastAsia="Times New Roman" w:hAnsi="Times New Roman" w:cs="Times New Roman"/>
                <w:kern w:val="0"/>
                <w:sz w:val="22"/>
                <w:szCs w:val="22"/>
                <w:lang w:val="uk-UA" w:eastAsia="uk-UA"/>
                <w14:ligatures w14:val="none"/>
              </w:rPr>
              <w:t xml:space="preserve">Первісна вартість ОЗ на 01.01.2024 – 517328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14136CB2"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 xml:space="preserve">Первісна вартість ОЗ на 31.12.2024 – 571167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483DA9C7"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 xml:space="preserve">Залишкова вартість ОЗ на 01.01.2024 – 390374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00A70B38"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 xml:space="preserve">Залишкова вартість ОЗ на 31.12.2024 – 436332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2366013E"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Ступінь зносу основних засобів складає 23,6 %</w:t>
            </w:r>
          </w:p>
          <w:p w14:paraId="1B4A6D36"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 xml:space="preserve">Первісна вартість повністю </w:t>
            </w:r>
            <w:proofErr w:type="spellStart"/>
            <w:r w:rsidRPr="004229C1">
              <w:rPr>
                <w:rFonts w:ascii="Times New Roman" w:eastAsia="Times New Roman" w:hAnsi="Times New Roman" w:cs="Times New Roman"/>
                <w:kern w:val="0"/>
                <w:sz w:val="22"/>
                <w:szCs w:val="22"/>
                <w:lang w:val="uk-UA" w:eastAsia="uk-UA"/>
                <w14:ligatures w14:val="none"/>
              </w:rPr>
              <w:t>замортизованих</w:t>
            </w:r>
            <w:proofErr w:type="spellEnd"/>
            <w:r w:rsidRPr="004229C1">
              <w:rPr>
                <w:rFonts w:ascii="Times New Roman" w:eastAsia="Times New Roman" w:hAnsi="Times New Roman" w:cs="Times New Roman"/>
                <w:kern w:val="0"/>
                <w:sz w:val="22"/>
                <w:szCs w:val="22"/>
                <w:lang w:val="uk-UA" w:eastAsia="uk-UA"/>
                <w14:ligatures w14:val="none"/>
              </w:rPr>
              <w:t xml:space="preserve"> ОЗ, які продовжують використовуватися – 88242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114C6CC0" w14:textId="77777777" w:rsidR="00867A34" w:rsidRPr="004229C1" w:rsidRDefault="00867A34" w:rsidP="00112BA4">
            <w:pPr>
              <w:widowControl w:val="0"/>
              <w:suppressAutoHyphens/>
              <w:autoSpaceDE w:val="0"/>
              <w:autoSpaceDN w:val="0"/>
              <w:adjustRightInd w:val="0"/>
              <w:spacing w:after="0" w:line="240" w:lineRule="auto"/>
              <w:rPr>
                <w:rFonts w:ascii="Times New Roman" w:eastAsia="Times New Roman" w:hAnsi="Times New Roman" w:cs="Times New Roman"/>
                <w:kern w:val="0"/>
                <w:sz w:val="22"/>
                <w:szCs w:val="22"/>
                <w:lang w:val="uk-UA" w:eastAsia="uk-UA"/>
                <w14:ligatures w14:val="none"/>
              </w:rPr>
            </w:pPr>
            <w:r w:rsidRPr="004229C1">
              <w:rPr>
                <w:rFonts w:ascii="Times New Roman" w:eastAsia="Times New Roman" w:hAnsi="Times New Roman" w:cs="Times New Roman"/>
                <w:kern w:val="0"/>
                <w:sz w:val="22"/>
                <w:szCs w:val="22"/>
                <w:lang w:val="uk-UA" w:eastAsia="uk-UA"/>
                <w14:ligatures w14:val="none"/>
              </w:rPr>
              <w:t xml:space="preserve">Сума нарахованого зносу станом на 31.12.2024 – 134835 </w:t>
            </w:r>
            <w:proofErr w:type="spellStart"/>
            <w:r w:rsidRPr="004229C1">
              <w:rPr>
                <w:rFonts w:ascii="Times New Roman" w:eastAsia="Times New Roman" w:hAnsi="Times New Roman" w:cs="Times New Roman"/>
                <w:kern w:val="0"/>
                <w:sz w:val="22"/>
                <w:szCs w:val="22"/>
                <w:lang w:val="uk-UA" w:eastAsia="uk-UA"/>
                <w14:ligatures w14:val="none"/>
              </w:rPr>
              <w:t>тис.грн</w:t>
            </w:r>
            <w:proofErr w:type="spellEnd"/>
            <w:r w:rsidRPr="004229C1">
              <w:rPr>
                <w:rFonts w:ascii="Times New Roman" w:eastAsia="Times New Roman" w:hAnsi="Times New Roman" w:cs="Times New Roman"/>
                <w:kern w:val="0"/>
                <w:sz w:val="22"/>
                <w:szCs w:val="22"/>
                <w:lang w:val="uk-UA" w:eastAsia="uk-UA"/>
                <w14:ligatures w14:val="none"/>
              </w:rPr>
              <w:t>.</w:t>
            </w:r>
          </w:p>
          <w:p w14:paraId="3BF4BF74" w14:textId="77777777" w:rsidR="00867A34" w:rsidRPr="004229C1" w:rsidRDefault="00867A34" w:rsidP="00112BA4">
            <w:pPr>
              <w:widowControl w:val="0"/>
              <w:autoSpaceDE w:val="0"/>
              <w:autoSpaceDN w:val="0"/>
              <w:adjustRightInd w:val="0"/>
              <w:spacing w:after="0" w:line="240" w:lineRule="auto"/>
              <w:jc w:val="both"/>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Обмежень на використання основних засобів Банк не має.</w:t>
            </w:r>
          </w:p>
          <w:p w14:paraId="3761A217" w14:textId="77777777" w:rsidR="00867A34" w:rsidRPr="004229C1" w:rsidRDefault="00867A34" w:rsidP="00867A34">
            <w:pPr>
              <w:widowControl w:val="0"/>
              <w:autoSpaceDE w:val="0"/>
              <w:autoSpaceDN w:val="0"/>
              <w:adjustRightInd w:val="0"/>
              <w:spacing w:after="0" w:line="240" w:lineRule="auto"/>
              <w:jc w:val="both"/>
              <w:rPr>
                <w:rFonts w:ascii="Times New Roman CYR" w:eastAsia="Times New Roman" w:hAnsi="Times New Roman CYR" w:cs="Times New Roman CYR"/>
                <w:kern w:val="0"/>
                <w:sz w:val="22"/>
                <w:szCs w:val="22"/>
                <w:lang w:val="uk-UA"/>
                <w14:ligatures w14:val="none"/>
              </w:rPr>
            </w:pPr>
          </w:p>
        </w:tc>
      </w:tr>
    </w:tbl>
    <w:p w14:paraId="2DA0264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11E9FCEE" w14:textId="2B7565CE" w:rsidR="00867A34" w:rsidRPr="004229C1" w:rsidRDefault="00867A34" w:rsidP="00867A34">
      <w:pPr>
        <w:widowControl w:val="0"/>
        <w:autoSpaceDE w:val="0"/>
        <w:autoSpaceDN w:val="0"/>
        <w:adjustRightInd w:val="0"/>
        <w:spacing w:after="0" w:line="240" w:lineRule="auto"/>
        <w:rPr>
          <w:rFonts w:ascii="Times New Roman CYR" w:eastAsia="Times New Roman" w:hAnsi="Times New Roman CYR" w:cs="Times New Roman CYR"/>
          <w:b/>
          <w:bCs/>
          <w:kern w:val="0"/>
          <w:lang w:val="uk-UA"/>
          <w14:ligatures w14:val="none"/>
        </w:rPr>
      </w:pPr>
      <w:r w:rsidRPr="004229C1">
        <w:rPr>
          <w:rFonts w:ascii="Times New Roman CYR" w:eastAsia="Times New Roman" w:hAnsi="Times New Roman CYR" w:cs="Times New Roman CYR"/>
          <w:b/>
          <w:bCs/>
          <w:kern w:val="0"/>
          <w:lang w:val="uk-UA"/>
          <w14:ligatures w14:val="none"/>
        </w:rPr>
        <w:t>Інформація про зобов'язання та забезпечення особи</w:t>
      </w:r>
    </w:p>
    <w:p w14:paraId="5898EF08" w14:textId="77777777" w:rsidR="00867A34" w:rsidRPr="004229C1" w:rsidRDefault="00867A34" w:rsidP="00867A34">
      <w:pPr>
        <w:widowControl w:val="0"/>
        <w:autoSpaceDE w:val="0"/>
        <w:autoSpaceDN w:val="0"/>
        <w:adjustRightInd w:val="0"/>
        <w:spacing w:after="0" w:line="240" w:lineRule="auto"/>
        <w:rPr>
          <w:rFonts w:ascii="Times New Roman CYR" w:eastAsia="Times New Roman" w:hAnsi="Times New Roman CYR" w:cs="Times New Roman CYR"/>
          <w:b/>
          <w:bCs/>
          <w:kern w:val="0"/>
          <w:lang w:val="uk-UA"/>
          <w14:ligatures w14:val="none"/>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12"/>
        <w:gridCol w:w="68"/>
        <w:gridCol w:w="1440"/>
        <w:gridCol w:w="51"/>
        <w:gridCol w:w="1417"/>
        <w:gridCol w:w="12"/>
        <w:gridCol w:w="1940"/>
        <w:gridCol w:w="33"/>
        <w:gridCol w:w="1276"/>
        <w:gridCol w:w="19"/>
      </w:tblGrid>
      <w:tr w:rsidR="00867A34" w:rsidRPr="004229C1" w14:paraId="0F543B78" w14:textId="77777777" w:rsidTr="00A54B2F">
        <w:trPr>
          <w:trHeight w:val="113"/>
        </w:trPr>
        <w:tc>
          <w:tcPr>
            <w:tcW w:w="3780" w:type="dxa"/>
            <w:gridSpan w:val="2"/>
            <w:tcBorders>
              <w:top w:val="single" w:sz="6" w:space="0" w:color="auto"/>
              <w:bottom w:val="single" w:sz="6" w:space="0" w:color="auto"/>
              <w:right w:val="single" w:sz="6" w:space="0" w:color="auto"/>
            </w:tcBorders>
            <w:vAlign w:val="center"/>
          </w:tcPr>
          <w:p w14:paraId="7E16E51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4F5E8AE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Дата виникнення</w:t>
            </w:r>
          </w:p>
        </w:tc>
        <w:tc>
          <w:tcPr>
            <w:tcW w:w="1480" w:type="dxa"/>
            <w:gridSpan w:val="3"/>
            <w:tcBorders>
              <w:top w:val="single" w:sz="6" w:space="0" w:color="auto"/>
              <w:left w:val="single" w:sz="6" w:space="0" w:color="auto"/>
              <w:bottom w:val="single" w:sz="6" w:space="0" w:color="auto"/>
              <w:right w:val="single" w:sz="6" w:space="0" w:color="auto"/>
            </w:tcBorders>
            <w:vAlign w:val="center"/>
          </w:tcPr>
          <w:p w14:paraId="79029B26"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7406F09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Відсоток за користування коштами (відсоток річних)</w:t>
            </w:r>
          </w:p>
        </w:tc>
        <w:tc>
          <w:tcPr>
            <w:tcW w:w="1328" w:type="dxa"/>
            <w:gridSpan w:val="3"/>
            <w:tcBorders>
              <w:top w:val="single" w:sz="6" w:space="0" w:color="auto"/>
              <w:left w:val="single" w:sz="6" w:space="0" w:color="auto"/>
              <w:bottom w:val="single" w:sz="6" w:space="0" w:color="auto"/>
            </w:tcBorders>
            <w:vAlign w:val="center"/>
          </w:tcPr>
          <w:p w14:paraId="4948F7B8"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Дата погашення</w:t>
            </w:r>
          </w:p>
        </w:tc>
      </w:tr>
      <w:tr w:rsidR="00867A34" w:rsidRPr="004229C1" w14:paraId="0A9A411E" w14:textId="77777777" w:rsidTr="00A54B2F">
        <w:trPr>
          <w:trHeight w:val="113"/>
        </w:trPr>
        <w:tc>
          <w:tcPr>
            <w:tcW w:w="3780" w:type="dxa"/>
            <w:gridSpan w:val="2"/>
            <w:tcBorders>
              <w:top w:val="single" w:sz="6" w:space="0" w:color="auto"/>
              <w:bottom w:val="single" w:sz="6" w:space="0" w:color="auto"/>
              <w:right w:val="single" w:sz="6" w:space="0" w:color="auto"/>
            </w:tcBorders>
            <w:vAlign w:val="center"/>
          </w:tcPr>
          <w:p w14:paraId="2D7A141B"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3F621B69"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X</w:t>
            </w:r>
          </w:p>
        </w:tc>
        <w:tc>
          <w:tcPr>
            <w:tcW w:w="1480" w:type="dxa"/>
            <w:gridSpan w:val="3"/>
            <w:tcBorders>
              <w:top w:val="single" w:sz="6" w:space="0" w:color="auto"/>
              <w:left w:val="single" w:sz="6" w:space="0" w:color="auto"/>
              <w:bottom w:val="single" w:sz="6" w:space="0" w:color="auto"/>
              <w:right w:val="single" w:sz="6" w:space="0" w:color="auto"/>
            </w:tcBorders>
            <w:vAlign w:val="center"/>
          </w:tcPr>
          <w:p w14:paraId="31C26F8D"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372 986</w:t>
            </w:r>
          </w:p>
        </w:tc>
        <w:tc>
          <w:tcPr>
            <w:tcW w:w="1940" w:type="dxa"/>
            <w:tcBorders>
              <w:top w:val="single" w:sz="6" w:space="0" w:color="auto"/>
              <w:left w:val="single" w:sz="6" w:space="0" w:color="auto"/>
              <w:bottom w:val="single" w:sz="6" w:space="0" w:color="auto"/>
              <w:right w:val="single" w:sz="6" w:space="0" w:color="auto"/>
            </w:tcBorders>
            <w:vAlign w:val="center"/>
          </w:tcPr>
          <w:p w14:paraId="0B3E36FD"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X</w:t>
            </w:r>
          </w:p>
        </w:tc>
        <w:tc>
          <w:tcPr>
            <w:tcW w:w="1328" w:type="dxa"/>
            <w:gridSpan w:val="3"/>
            <w:tcBorders>
              <w:top w:val="single" w:sz="6" w:space="0" w:color="auto"/>
              <w:left w:val="single" w:sz="6" w:space="0" w:color="auto"/>
              <w:bottom w:val="single" w:sz="6" w:space="0" w:color="auto"/>
            </w:tcBorders>
            <w:vAlign w:val="center"/>
          </w:tcPr>
          <w:p w14:paraId="6CD03550" w14:textId="77777777" w:rsidR="00867A34" w:rsidRPr="004229C1" w:rsidRDefault="00867A34" w:rsidP="00867A34">
            <w:pPr>
              <w:widowControl w:val="0"/>
              <w:autoSpaceDE w:val="0"/>
              <w:autoSpaceDN w:val="0"/>
              <w:adjustRightInd w:val="0"/>
              <w:spacing w:after="0" w:line="240" w:lineRule="auto"/>
              <w:jc w:val="center"/>
              <w:rPr>
                <w:rFonts w:ascii="Times New Roman" w:eastAsia="Times New Roman" w:hAnsi="Times New Roman" w:cs="Times New Roman"/>
                <w:kern w:val="0"/>
                <w:sz w:val="22"/>
                <w:szCs w:val="22"/>
                <w:lang w:val="uk-UA"/>
                <w14:ligatures w14:val="none"/>
              </w:rPr>
            </w:pPr>
            <w:r w:rsidRPr="004229C1">
              <w:rPr>
                <w:rFonts w:ascii="Times New Roman" w:eastAsia="Times New Roman" w:hAnsi="Times New Roman" w:cs="Times New Roman"/>
                <w:kern w:val="0"/>
                <w:sz w:val="22"/>
                <w:szCs w:val="22"/>
                <w:lang w:val="uk-UA"/>
                <w14:ligatures w14:val="none"/>
              </w:rPr>
              <w:t>X</w:t>
            </w:r>
          </w:p>
        </w:tc>
      </w:tr>
      <w:tr w:rsidR="00867A34" w:rsidRPr="004229C1" w14:paraId="797BE485"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C0C389"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у тому числі:</w:t>
            </w:r>
          </w:p>
        </w:tc>
        <w:tc>
          <w:tcPr>
            <w:tcW w:w="6237" w:type="dxa"/>
            <w:gridSpan w:val="8"/>
            <w:tcBorders>
              <w:top w:val="nil"/>
              <w:left w:val="nil"/>
              <w:bottom w:val="single" w:sz="8" w:space="0" w:color="auto"/>
              <w:right w:val="single" w:sz="8" w:space="0" w:color="auto"/>
            </w:tcBorders>
            <w:tcMar>
              <w:top w:w="0" w:type="dxa"/>
              <w:left w:w="108" w:type="dxa"/>
              <w:bottom w:w="0" w:type="dxa"/>
              <w:right w:w="108" w:type="dxa"/>
            </w:tcMar>
            <w:vAlign w:val="center"/>
          </w:tcPr>
          <w:p w14:paraId="301A3BFB"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p>
        </w:tc>
      </w:tr>
      <w:tr w:rsidR="00867A34" w:rsidRPr="004229C1" w14:paraId="6C920A7A"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FAC871"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 xml:space="preserve">Кредит </w:t>
            </w:r>
            <w:proofErr w:type="spellStart"/>
            <w:r w:rsidRPr="004229C1">
              <w:rPr>
                <w:rFonts w:ascii="Times New Roman" w:eastAsia="Times New Roman" w:hAnsi="Times New Roman" w:cs="Times New Roman"/>
                <w:sz w:val="22"/>
                <w:szCs w:val="22"/>
                <w:lang w:val="uk-UA"/>
                <w14:ligatures w14:val="none"/>
              </w:rPr>
              <w:t>вiд</w:t>
            </w:r>
            <w:proofErr w:type="spellEnd"/>
            <w:r w:rsidRPr="004229C1">
              <w:rPr>
                <w:rFonts w:ascii="Times New Roman" w:eastAsia="Times New Roman" w:hAnsi="Times New Roman" w:cs="Times New Roman"/>
                <w:sz w:val="22"/>
                <w:szCs w:val="22"/>
                <w:lang w:val="uk-UA"/>
                <w14:ligatures w14:val="none"/>
              </w:rPr>
              <w:t xml:space="preserve"> EUROPEAN INVESTMENT BANK</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FE84FEC"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22.12.2021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E4EE568"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213 615</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3C383FF"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2,315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EABB6D7"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22.12.2028</w:t>
            </w:r>
          </w:p>
        </w:tc>
      </w:tr>
      <w:tr w:rsidR="00867A34" w:rsidRPr="004229C1" w14:paraId="7682B863"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A8E940"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 xml:space="preserve">Кредит </w:t>
            </w:r>
            <w:proofErr w:type="spellStart"/>
            <w:r w:rsidRPr="004229C1">
              <w:rPr>
                <w:rFonts w:ascii="Times New Roman" w:eastAsia="Times New Roman" w:hAnsi="Times New Roman" w:cs="Times New Roman"/>
                <w:sz w:val="22"/>
                <w:szCs w:val="22"/>
                <w:lang w:val="uk-UA"/>
                <w14:ligatures w14:val="none"/>
              </w:rPr>
              <w:t>вiд</w:t>
            </w:r>
            <w:proofErr w:type="spellEnd"/>
            <w:r w:rsidRPr="004229C1">
              <w:rPr>
                <w:rFonts w:ascii="Times New Roman" w:eastAsia="Times New Roman" w:hAnsi="Times New Roman" w:cs="Times New Roman"/>
                <w:sz w:val="22"/>
                <w:szCs w:val="22"/>
                <w:lang w:val="uk-UA"/>
                <w14:ligatures w14:val="none"/>
              </w:rPr>
              <w:t xml:space="preserve"> EUROPEAN INVESTMENT BANK</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0090AB4"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22.12.2021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5EC55B0"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159 371</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6A0008E"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0,785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342033A"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22.12.2028</w:t>
            </w:r>
          </w:p>
        </w:tc>
      </w:tr>
      <w:tr w:rsidR="00867A34" w:rsidRPr="004229C1" w14:paraId="75C4E4F1"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E89286"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Зобов’язання за цінними паперами</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49C929"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729B8"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C87367"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FFFE21"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03236B29"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8FF128"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у тому числі:</w:t>
            </w:r>
          </w:p>
        </w:tc>
        <w:tc>
          <w:tcPr>
            <w:tcW w:w="6237" w:type="dxa"/>
            <w:gridSpan w:val="8"/>
            <w:tcBorders>
              <w:top w:val="nil"/>
              <w:left w:val="nil"/>
              <w:bottom w:val="single" w:sz="8" w:space="0" w:color="auto"/>
              <w:right w:val="single" w:sz="8" w:space="0" w:color="auto"/>
            </w:tcBorders>
            <w:tcMar>
              <w:top w:w="0" w:type="dxa"/>
              <w:left w:w="108" w:type="dxa"/>
              <w:bottom w:w="0" w:type="dxa"/>
              <w:right w:w="108" w:type="dxa"/>
            </w:tcMar>
            <w:vAlign w:val="center"/>
          </w:tcPr>
          <w:p w14:paraId="36234BE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p>
        </w:tc>
      </w:tr>
      <w:tr w:rsidR="00867A34" w:rsidRPr="004229C1" w14:paraId="4537DC8C"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D2A4A4"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облігаціями (за кожним власним випуском):</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02E98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C557CD"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C5F48D"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3B9B3"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7361376C"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14BC82"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іпотечними цінними паперами (за кожним власним випуском):</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906BF1"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89D68B"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84BBE"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E892C"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75AFD306"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980D49"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сертифікатами ФОН (за кожним власним випуском):</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42AED2"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396729"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376491"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9CBE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7E5A1B40"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3F8E47"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векселями (всього):</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4238CC"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89BF73"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29AB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75FC3A"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2AFD1DF6"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D472D0"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іншими цінними паперами (у тому числі за деривативами) (за кожним видом):</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458C7A"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2AE1E9"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298D53"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1F6F4A"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6FD7A777"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73230F"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за фінансовими інвестиціями в корпоративні права (за кожним видом):</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14D53C"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453006"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5005C2"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F9CA6E"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670FE997"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406157"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Податкові зобов'язання</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E309AB"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7F6AE66"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86 073</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8D719F"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CB030"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614E1DBA"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8142FC"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Фінансова допомога на зворотній основі</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F3A46C"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F7AC22"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0</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937994"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AC0BD1"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6EF0BA61"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D74962"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Інші зобов'язання та забезпечення</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26DBCA"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FCAAE2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9 676 563</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87B283"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D802CF"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r w:rsidR="00867A34" w:rsidRPr="004229C1" w14:paraId="718EF652" w14:textId="77777777" w:rsidTr="00A54B2F">
        <w:tblPrEx>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Ex>
        <w:trPr>
          <w:gridAfter w:val="1"/>
          <w:wAfter w:w="19" w:type="dxa"/>
          <w:trHeight w:val="113"/>
        </w:trPr>
        <w:tc>
          <w:tcPr>
            <w:tcW w:w="37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2B0CC2" w14:textId="77777777" w:rsidR="00867A34" w:rsidRPr="004229C1" w:rsidRDefault="00867A34" w:rsidP="00867A34">
            <w:pPr>
              <w:spacing w:line="240" w:lineRule="auto"/>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Усього зобов'язань та забезпечень</w:t>
            </w:r>
          </w:p>
        </w:tc>
        <w:tc>
          <w:tcPr>
            <w:tcW w:w="155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952926"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5852E6"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10 135 622</w:t>
            </w:r>
          </w:p>
        </w:tc>
        <w:tc>
          <w:tcPr>
            <w:tcW w:w="198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710EF6"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5798D5" w14:textId="77777777" w:rsidR="00867A34" w:rsidRPr="004229C1" w:rsidRDefault="00867A34" w:rsidP="00867A34">
            <w:pPr>
              <w:spacing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X</w:t>
            </w:r>
          </w:p>
        </w:tc>
      </w:tr>
    </w:tbl>
    <w:p w14:paraId="278924E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5358CD53"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7469BF" w:rsidRPr="004229C1" w14:paraId="36E5BAFF" w14:textId="77777777">
        <w:trPr>
          <w:trHeight w:val="200"/>
        </w:trPr>
        <w:tc>
          <w:tcPr>
            <w:tcW w:w="6000" w:type="dxa"/>
            <w:tcBorders>
              <w:top w:val="single" w:sz="6" w:space="0" w:color="auto"/>
              <w:bottom w:val="single" w:sz="6" w:space="0" w:color="auto"/>
              <w:right w:val="single" w:sz="6" w:space="0" w:color="auto"/>
            </w:tcBorders>
          </w:tcPr>
          <w:p w14:paraId="10C9DBD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000" w:type="dxa"/>
            <w:tcBorders>
              <w:top w:val="single" w:sz="6" w:space="0" w:color="auto"/>
              <w:left w:val="single" w:sz="6" w:space="0" w:color="auto"/>
              <w:bottom w:val="single" w:sz="6" w:space="0" w:color="auto"/>
            </w:tcBorders>
          </w:tcPr>
          <w:p w14:paraId="2B03411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Адвокатське Об'єднання "Юридична </w:t>
            </w:r>
            <w:proofErr w:type="spellStart"/>
            <w:r w:rsidRPr="004229C1">
              <w:rPr>
                <w:rFonts w:ascii="Times New Roman" w:hAnsi="Times New Roman" w:cs="Times New Roman"/>
                <w:kern w:val="0"/>
                <w:sz w:val="22"/>
                <w:szCs w:val="22"/>
                <w:lang w:val="uk-UA"/>
              </w:rPr>
              <w:t>Фiрма</w:t>
            </w:r>
            <w:proofErr w:type="spellEnd"/>
            <w:r w:rsidRPr="004229C1">
              <w:rPr>
                <w:rFonts w:ascii="Times New Roman" w:hAnsi="Times New Roman" w:cs="Times New Roman"/>
                <w:kern w:val="0"/>
                <w:sz w:val="22"/>
                <w:szCs w:val="22"/>
                <w:lang w:val="uk-UA"/>
              </w:rPr>
              <w:t xml:space="preserve"> "АСТЕРС"</w:t>
            </w:r>
          </w:p>
        </w:tc>
      </w:tr>
      <w:tr w:rsidR="007469BF" w:rsidRPr="004229C1" w14:paraId="5DB81152" w14:textId="77777777">
        <w:trPr>
          <w:trHeight w:val="200"/>
        </w:trPr>
        <w:tc>
          <w:tcPr>
            <w:tcW w:w="6000" w:type="dxa"/>
            <w:tcBorders>
              <w:top w:val="single" w:sz="6" w:space="0" w:color="auto"/>
              <w:bottom w:val="single" w:sz="6" w:space="0" w:color="auto"/>
              <w:right w:val="single" w:sz="6" w:space="0" w:color="auto"/>
            </w:tcBorders>
          </w:tcPr>
          <w:p w14:paraId="26438AB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000" w:type="dxa"/>
            <w:tcBorders>
              <w:top w:val="single" w:sz="6" w:space="0" w:color="auto"/>
              <w:left w:val="single" w:sz="6" w:space="0" w:color="auto"/>
              <w:bottom w:val="single" w:sz="6" w:space="0" w:color="auto"/>
            </w:tcBorders>
          </w:tcPr>
          <w:p w14:paraId="082DBCFE"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37961EC2" w14:textId="77777777">
        <w:trPr>
          <w:trHeight w:val="200"/>
        </w:trPr>
        <w:tc>
          <w:tcPr>
            <w:tcW w:w="6000" w:type="dxa"/>
            <w:tcBorders>
              <w:top w:val="single" w:sz="6" w:space="0" w:color="auto"/>
              <w:bottom w:val="single" w:sz="6" w:space="0" w:color="auto"/>
              <w:right w:val="single" w:sz="6" w:space="0" w:color="auto"/>
            </w:tcBorders>
          </w:tcPr>
          <w:p w14:paraId="797D67B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000" w:type="dxa"/>
            <w:tcBorders>
              <w:top w:val="single" w:sz="6" w:space="0" w:color="auto"/>
              <w:left w:val="single" w:sz="6" w:space="0" w:color="auto"/>
              <w:bottom w:val="single" w:sz="6" w:space="0" w:color="auto"/>
            </w:tcBorders>
          </w:tcPr>
          <w:p w14:paraId="5B005A54"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2DA4F5A5" w14:textId="77777777">
        <w:trPr>
          <w:trHeight w:val="200"/>
        </w:trPr>
        <w:tc>
          <w:tcPr>
            <w:tcW w:w="6000" w:type="dxa"/>
            <w:tcBorders>
              <w:top w:val="single" w:sz="6" w:space="0" w:color="auto"/>
              <w:bottom w:val="single" w:sz="6" w:space="0" w:color="auto"/>
              <w:right w:val="single" w:sz="6" w:space="0" w:color="auto"/>
            </w:tcBorders>
          </w:tcPr>
          <w:p w14:paraId="1526D4F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000" w:type="dxa"/>
            <w:tcBorders>
              <w:top w:val="single" w:sz="6" w:space="0" w:color="auto"/>
              <w:left w:val="single" w:sz="6" w:space="0" w:color="auto"/>
              <w:bottom w:val="single" w:sz="6" w:space="0" w:color="auto"/>
            </w:tcBorders>
          </w:tcPr>
          <w:p w14:paraId="0DC3DA9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Інші організаційно-правові форми</w:t>
            </w:r>
          </w:p>
        </w:tc>
      </w:tr>
      <w:tr w:rsidR="007469BF" w:rsidRPr="004229C1" w14:paraId="5EC94BB7" w14:textId="77777777">
        <w:trPr>
          <w:trHeight w:val="200"/>
        </w:trPr>
        <w:tc>
          <w:tcPr>
            <w:tcW w:w="6000" w:type="dxa"/>
            <w:tcBorders>
              <w:top w:val="single" w:sz="6" w:space="0" w:color="auto"/>
              <w:bottom w:val="single" w:sz="6" w:space="0" w:color="auto"/>
              <w:right w:val="single" w:sz="6" w:space="0" w:color="auto"/>
            </w:tcBorders>
          </w:tcPr>
          <w:p w14:paraId="2C70964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6420BBD" w14:textId="0C9E1E17" w:rsidR="007469BF" w:rsidRPr="004229C1" w:rsidRDefault="002B4288">
            <w:pPr>
              <w:widowControl w:val="0"/>
              <w:autoSpaceDE w:val="0"/>
              <w:autoSpaceDN w:val="0"/>
              <w:adjustRightInd w:val="0"/>
              <w:spacing w:after="0" w:line="240" w:lineRule="auto"/>
              <w:jc w:val="center"/>
              <w:rPr>
                <w:rFonts w:ascii="Times New Roman" w:hAnsi="Times New Roman" w:cs="Times New Roman"/>
                <w:color w:val="FF0000"/>
                <w:kern w:val="0"/>
                <w:sz w:val="22"/>
                <w:szCs w:val="22"/>
                <w:lang w:val="uk-UA"/>
              </w:rPr>
            </w:pPr>
            <w:r w:rsidRPr="004229C1">
              <w:rPr>
                <w:rFonts w:ascii="Times New Roman" w:hAnsi="Times New Roman" w:cs="Times New Roman"/>
                <w:kern w:val="0"/>
                <w:sz w:val="22"/>
                <w:szCs w:val="22"/>
                <w:lang w:val="uk-UA"/>
              </w:rPr>
              <w:t>37270543</w:t>
            </w:r>
          </w:p>
        </w:tc>
      </w:tr>
      <w:tr w:rsidR="007469BF" w:rsidRPr="004229C1" w14:paraId="2D0C362F" w14:textId="77777777">
        <w:trPr>
          <w:trHeight w:val="200"/>
        </w:trPr>
        <w:tc>
          <w:tcPr>
            <w:tcW w:w="6000" w:type="dxa"/>
            <w:tcBorders>
              <w:top w:val="single" w:sz="6" w:space="0" w:color="auto"/>
              <w:bottom w:val="single" w:sz="6" w:space="0" w:color="auto"/>
              <w:right w:val="single" w:sz="6" w:space="0" w:color="auto"/>
            </w:tcBorders>
          </w:tcPr>
          <w:p w14:paraId="6B6AA7A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000" w:type="dxa"/>
            <w:tcBorders>
              <w:top w:val="single" w:sz="6" w:space="0" w:color="auto"/>
              <w:left w:val="single" w:sz="6" w:space="0" w:color="auto"/>
              <w:bottom w:val="single" w:sz="6" w:space="0" w:color="auto"/>
            </w:tcBorders>
          </w:tcPr>
          <w:p w14:paraId="75ADF13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01054, Україна, Київ, вул. Богдана Хмельницького, буд. 19-21</w:t>
            </w:r>
          </w:p>
        </w:tc>
      </w:tr>
      <w:tr w:rsidR="007469BF" w:rsidRPr="004229C1" w14:paraId="6DD7B6F5" w14:textId="77777777">
        <w:trPr>
          <w:trHeight w:val="200"/>
        </w:trPr>
        <w:tc>
          <w:tcPr>
            <w:tcW w:w="6000" w:type="dxa"/>
            <w:tcBorders>
              <w:top w:val="single" w:sz="6" w:space="0" w:color="auto"/>
              <w:bottom w:val="single" w:sz="6" w:space="0" w:color="auto"/>
              <w:right w:val="single" w:sz="6" w:space="0" w:color="auto"/>
            </w:tcBorders>
          </w:tcPr>
          <w:p w14:paraId="4887632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CF35384"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02A12F50" w14:textId="77777777">
        <w:trPr>
          <w:trHeight w:val="200"/>
        </w:trPr>
        <w:tc>
          <w:tcPr>
            <w:tcW w:w="6000" w:type="dxa"/>
            <w:tcBorders>
              <w:top w:val="single" w:sz="6" w:space="0" w:color="auto"/>
              <w:bottom w:val="single" w:sz="6" w:space="0" w:color="auto"/>
              <w:right w:val="single" w:sz="6" w:space="0" w:color="auto"/>
            </w:tcBorders>
          </w:tcPr>
          <w:p w14:paraId="0792C43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247DA149"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61370663" w14:textId="77777777">
        <w:trPr>
          <w:trHeight w:val="200"/>
        </w:trPr>
        <w:tc>
          <w:tcPr>
            <w:tcW w:w="6000" w:type="dxa"/>
            <w:tcBorders>
              <w:top w:val="single" w:sz="6" w:space="0" w:color="auto"/>
              <w:bottom w:val="single" w:sz="6" w:space="0" w:color="auto"/>
              <w:right w:val="single" w:sz="6" w:space="0" w:color="auto"/>
            </w:tcBorders>
          </w:tcPr>
          <w:p w14:paraId="7CA0AF9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B7DB935"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7D254D19" w14:textId="77777777">
        <w:trPr>
          <w:trHeight w:val="200"/>
        </w:trPr>
        <w:tc>
          <w:tcPr>
            <w:tcW w:w="6000" w:type="dxa"/>
            <w:tcBorders>
              <w:top w:val="single" w:sz="6" w:space="0" w:color="auto"/>
              <w:bottom w:val="single" w:sz="6" w:space="0" w:color="auto"/>
              <w:right w:val="single" w:sz="6" w:space="0" w:color="auto"/>
            </w:tcBorders>
          </w:tcPr>
          <w:p w14:paraId="16FCDF8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000" w:type="dxa"/>
            <w:tcBorders>
              <w:top w:val="single" w:sz="6" w:space="0" w:color="auto"/>
              <w:left w:val="single" w:sz="6" w:space="0" w:color="auto"/>
              <w:bottom w:val="single" w:sz="6" w:space="0" w:color="auto"/>
            </w:tcBorders>
          </w:tcPr>
          <w:p w14:paraId="7E18168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+380442306000, +380442306001+380442306000, +</w:t>
            </w:r>
          </w:p>
        </w:tc>
      </w:tr>
      <w:tr w:rsidR="007469BF" w:rsidRPr="004229C1" w14:paraId="6BD5CABC" w14:textId="77777777">
        <w:trPr>
          <w:trHeight w:val="200"/>
        </w:trPr>
        <w:tc>
          <w:tcPr>
            <w:tcW w:w="6000" w:type="dxa"/>
            <w:tcBorders>
              <w:top w:val="single" w:sz="6" w:space="0" w:color="auto"/>
              <w:bottom w:val="single" w:sz="6" w:space="0" w:color="auto"/>
              <w:right w:val="single" w:sz="6" w:space="0" w:color="auto"/>
            </w:tcBorders>
          </w:tcPr>
          <w:p w14:paraId="1B0BB54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B369F7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69.10 -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сферi</w:t>
            </w:r>
            <w:proofErr w:type="spellEnd"/>
            <w:r w:rsidRPr="004229C1">
              <w:rPr>
                <w:rFonts w:ascii="Times New Roman" w:hAnsi="Times New Roman" w:cs="Times New Roman"/>
                <w:kern w:val="0"/>
                <w:sz w:val="22"/>
                <w:szCs w:val="22"/>
                <w:lang w:val="uk-UA"/>
              </w:rPr>
              <w:t xml:space="preserve"> права</w:t>
            </w:r>
          </w:p>
          <w:p w14:paraId="698F776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58.19 - </w:t>
            </w:r>
            <w:proofErr w:type="spellStart"/>
            <w:r w:rsidRPr="004229C1">
              <w:rPr>
                <w:rFonts w:ascii="Times New Roman" w:hAnsi="Times New Roman" w:cs="Times New Roman"/>
                <w:kern w:val="0"/>
                <w:sz w:val="22"/>
                <w:szCs w:val="22"/>
                <w:lang w:val="uk-UA"/>
              </w:rPr>
              <w:t>Iншi</w:t>
            </w:r>
            <w:proofErr w:type="spellEnd"/>
            <w:r w:rsidRPr="004229C1">
              <w:rPr>
                <w:rFonts w:ascii="Times New Roman" w:hAnsi="Times New Roman" w:cs="Times New Roman"/>
                <w:kern w:val="0"/>
                <w:sz w:val="22"/>
                <w:szCs w:val="22"/>
                <w:lang w:val="uk-UA"/>
              </w:rPr>
              <w:t xml:space="preserve"> види видавничої </w:t>
            </w:r>
            <w:proofErr w:type="spellStart"/>
            <w:r w:rsidRPr="004229C1">
              <w:rPr>
                <w:rFonts w:ascii="Times New Roman" w:hAnsi="Times New Roman" w:cs="Times New Roman"/>
                <w:kern w:val="0"/>
                <w:sz w:val="22"/>
                <w:szCs w:val="22"/>
                <w:lang w:val="uk-UA"/>
              </w:rPr>
              <w:t>дiяльностi</w:t>
            </w:r>
            <w:proofErr w:type="spellEnd"/>
          </w:p>
          <w:p w14:paraId="3FE5BEC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62.02 - Консультування з питань </w:t>
            </w:r>
            <w:proofErr w:type="spellStart"/>
            <w:r w:rsidRPr="004229C1">
              <w:rPr>
                <w:rFonts w:ascii="Times New Roman" w:hAnsi="Times New Roman" w:cs="Times New Roman"/>
                <w:kern w:val="0"/>
                <w:sz w:val="22"/>
                <w:szCs w:val="22"/>
                <w:lang w:val="uk-UA"/>
              </w:rPr>
              <w:t>iнформатизацiї</w:t>
            </w:r>
            <w:proofErr w:type="spellEnd"/>
          </w:p>
        </w:tc>
      </w:tr>
      <w:tr w:rsidR="007469BF" w:rsidRPr="004229C1" w14:paraId="45E96D7F" w14:textId="77777777">
        <w:trPr>
          <w:trHeight w:val="200"/>
        </w:trPr>
        <w:tc>
          <w:tcPr>
            <w:tcW w:w="6000" w:type="dxa"/>
            <w:tcBorders>
              <w:top w:val="single" w:sz="6" w:space="0" w:color="auto"/>
              <w:bottom w:val="single" w:sz="6" w:space="0" w:color="auto"/>
              <w:right w:val="single" w:sz="6" w:space="0" w:color="auto"/>
            </w:tcBorders>
          </w:tcPr>
          <w:p w14:paraId="03CF8FB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000" w:type="dxa"/>
            <w:tcBorders>
              <w:top w:val="single" w:sz="6" w:space="0" w:color="auto"/>
              <w:left w:val="single" w:sz="6" w:space="0" w:color="auto"/>
              <w:bottom w:val="single" w:sz="6" w:space="0" w:color="auto"/>
            </w:tcBorders>
          </w:tcPr>
          <w:p w14:paraId="4CC8942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Юридичнi</w:t>
            </w:r>
            <w:proofErr w:type="spellEnd"/>
            <w:r w:rsidRPr="004229C1">
              <w:rPr>
                <w:rFonts w:ascii="Times New Roman" w:hAnsi="Times New Roman" w:cs="Times New Roman"/>
                <w:kern w:val="0"/>
                <w:sz w:val="22"/>
                <w:szCs w:val="22"/>
                <w:lang w:val="uk-UA"/>
              </w:rPr>
              <w:t xml:space="preserve"> послуги</w:t>
            </w:r>
          </w:p>
        </w:tc>
      </w:tr>
    </w:tbl>
    <w:p w14:paraId="271A713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7469BF" w:rsidRPr="004229C1" w14:paraId="31123820" w14:textId="77777777">
        <w:trPr>
          <w:trHeight w:val="200"/>
        </w:trPr>
        <w:tc>
          <w:tcPr>
            <w:tcW w:w="6000" w:type="dxa"/>
            <w:tcBorders>
              <w:top w:val="single" w:sz="6" w:space="0" w:color="auto"/>
              <w:bottom w:val="single" w:sz="6" w:space="0" w:color="auto"/>
              <w:right w:val="single" w:sz="6" w:space="0" w:color="auto"/>
            </w:tcBorders>
          </w:tcPr>
          <w:p w14:paraId="3C76EB4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000" w:type="dxa"/>
            <w:tcBorders>
              <w:top w:val="single" w:sz="6" w:space="0" w:color="auto"/>
              <w:left w:val="single" w:sz="6" w:space="0" w:color="auto"/>
              <w:bottom w:val="single" w:sz="6" w:space="0" w:color="auto"/>
            </w:tcBorders>
          </w:tcPr>
          <w:p w14:paraId="392DE76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Повне найменування або </w:t>
            </w:r>
            <w:proofErr w:type="spellStart"/>
            <w:r w:rsidRPr="004229C1">
              <w:rPr>
                <w:rFonts w:ascii="Times New Roman" w:hAnsi="Times New Roman" w:cs="Times New Roman"/>
                <w:kern w:val="0"/>
                <w:sz w:val="22"/>
                <w:szCs w:val="22"/>
                <w:lang w:val="uk-UA"/>
              </w:rPr>
              <w:t>iм'я</w:t>
            </w:r>
            <w:proofErr w:type="spellEnd"/>
            <w:r w:rsidRPr="004229C1">
              <w:rPr>
                <w:rFonts w:ascii="Times New Roman" w:hAnsi="Times New Roman" w:cs="Times New Roman"/>
                <w:kern w:val="0"/>
                <w:sz w:val="22"/>
                <w:szCs w:val="22"/>
                <w:lang w:val="uk-UA"/>
              </w:rPr>
              <w:t xml:space="preserve"> Адвокатське Об'єднання "ПРАЙСУОТЕРХАУСКУПЕРС ЛIГАЛ"</w:t>
            </w:r>
          </w:p>
        </w:tc>
      </w:tr>
      <w:tr w:rsidR="007469BF" w:rsidRPr="004229C1" w14:paraId="1CAC9695" w14:textId="77777777">
        <w:trPr>
          <w:trHeight w:val="200"/>
        </w:trPr>
        <w:tc>
          <w:tcPr>
            <w:tcW w:w="6000" w:type="dxa"/>
            <w:tcBorders>
              <w:top w:val="single" w:sz="6" w:space="0" w:color="auto"/>
              <w:bottom w:val="single" w:sz="6" w:space="0" w:color="auto"/>
              <w:right w:val="single" w:sz="6" w:space="0" w:color="auto"/>
            </w:tcBorders>
          </w:tcPr>
          <w:p w14:paraId="22FFECD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000" w:type="dxa"/>
            <w:tcBorders>
              <w:top w:val="single" w:sz="6" w:space="0" w:color="auto"/>
              <w:left w:val="single" w:sz="6" w:space="0" w:color="auto"/>
              <w:bottom w:val="single" w:sz="6" w:space="0" w:color="auto"/>
            </w:tcBorders>
          </w:tcPr>
          <w:p w14:paraId="4F2D6C9D"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77B0FAF1" w14:textId="77777777">
        <w:trPr>
          <w:trHeight w:val="200"/>
        </w:trPr>
        <w:tc>
          <w:tcPr>
            <w:tcW w:w="6000" w:type="dxa"/>
            <w:tcBorders>
              <w:top w:val="single" w:sz="6" w:space="0" w:color="auto"/>
              <w:bottom w:val="single" w:sz="6" w:space="0" w:color="auto"/>
              <w:right w:val="single" w:sz="6" w:space="0" w:color="auto"/>
            </w:tcBorders>
          </w:tcPr>
          <w:p w14:paraId="241999E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000" w:type="dxa"/>
            <w:tcBorders>
              <w:top w:val="single" w:sz="6" w:space="0" w:color="auto"/>
              <w:left w:val="single" w:sz="6" w:space="0" w:color="auto"/>
              <w:bottom w:val="single" w:sz="6" w:space="0" w:color="auto"/>
            </w:tcBorders>
          </w:tcPr>
          <w:p w14:paraId="053259F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55B82D04" w14:textId="77777777">
        <w:trPr>
          <w:trHeight w:val="200"/>
        </w:trPr>
        <w:tc>
          <w:tcPr>
            <w:tcW w:w="6000" w:type="dxa"/>
            <w:tcBorders>
              <w:top w:val="single" w:sz="6" w:space="0" w:color="auto"/>
              <w:bottom w:val="single" w:sz="6" w:space="0" w:color="auto"/>
              <w:right w:val="single" w:sz="6" w:space="0" w:color="auto"/>
            </w:tcBorders>
          </w:tcPr>
          <w:p w14:paraId="5B97D69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000" w:type="dxa"/>
            <w:tcBorders>
              <w:top w:val="single" w:sz="6" w:space="0" w:color="auto"/>
              <w:left w:val="single" w:sz="6" w:space="0" w:color="auto"/>
              <w:bottom w:val="single" w:sz="6" w:space="0" w:color="auto"/>
            </w:tcBorders>
          </w:tcPr>
          <w:p w14:paraId="6B0FBC5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Інші організаційно-правові форми</w:t>
            </w:r>
          </w:p>
        </w:tc>
      </w:tr>
      <w:tr w:rsidR="007469BF" w:rsidRPr="004229C1" w14:paraId="103A8145" w14:textId="77777777">
        <w:trPr>
          <w:trHeight w:val="200"/>
        </w:trPr>
        <w:tc>
          <w:tcPr>
            <w:tcW w:w="6000" w:type="dxa"/>
            <w:tcBorders>
              <w:top w:val="single" w:sz="6" w:space="0" w:color="auto"/>
              <w:bottom w:val="single" w:sz="6" w:space="0" w:color="auto"/>
              <w:right w:val="single" w:sz="6" w:space="0" w:color="auto"/>
            </w:tcBorders>
          </w:tcPr>
          <w:p w14:paraId="15A3D84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9AD163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39317064</w:t>
            </w:r>
          </w:p>
        </w:tc>
      </w:tr>
      <w:tr w:rsidR="007469BF" w:rsidRPr="004229C1" w14:paraId="55EAFB78" w14:textId="77777777">
        <w:trPr>
          <w:trHeight w:val="200"/>
        </w:trPr>
        <w:tc>
          <w:tcPr>
            <w:tcW w:w="6000" w:type="dxa"/>
            <w:tcBorders>
              <w:top w:val="single" w:sz="6" w:space="0" w:color="auto"/>
              <w:bottom w:val="single" w:sz="6" w:space="0" w:color="auto"/>
              <w:right w:val="single" w:sz="6" w:space="0" w:color="auto"/>
            </w:tcBorders>
          </w:tcPr>
          <w:p w14:paraId="2F7DF18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000" w:type="dxa"/>
            <w:tcBorders>
              <w:top w:val="single" w:sz="6" w:space="0" w:color="auto"/>
              <w:left w:val="single" w:sz="6" w:space="0" w:color="auto"/>
              <w:bottom w:val="single" w:sz="6" w:space="0" w:color="auto"/>
            </w:tcBorders>
          </w:tcPr>
          <w:p w14:paraId="0DA6DFF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01032, Україна, Київ, вул. Жилянська, буд. 75</w:t>
            </w:r>
          </w:p>
        </w:tc>
      </w:tr>
      <w:tr w:rsidR="007469BF" w:rsidRPr="004229C1" w14:paraId="1390273F" w14:textId="77777777">
        <w:trPr>
          <w:trHeight w:val="200"/>
        </w:trPr>
        <w:tc>
          <w:tcPr>
            <w:tcW w:w="6000" w:type="dxa"/>
            <w:tcBorders>
              <w:top w:val="single" w:sz="6" w:space="0" w:color="auto"/>
              <w:bottom w:val="single" w:sz="6" w:space="0" w:color="auto"/>
              <w:right w:val="single" w:sz="6" w:space="0" w:color="auto"/>
            </w:tcBorders>
          </w:tcPr>
          <w:p w14:paraId="32BE044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EB72841"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042D0DF5" w14:textId="77777777">
        <w:trPr>
          <w:trHeight w:val="200"/>
        </w:trPr>
        <w:tc>
          <w:tcPr>
            <w:tcW w:w="6000" w:type="dxa"/>
            <w:tcBorders>
              <w:top w:val="single" w:sz="6" w:space="0" w:color="auto"/>
              <w:bottom w:val="single" w:sz="6" w:space="0" w:color="auto"/>
              <w:right w:val="single" w:sz="6" w:space="0" w:color="auto"/>
            </w:tcBorders>
          </w:tcPr>
          <w:p w14:paraId="1C3E695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215CE795"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76266AA2" w14:textId="77777777">
        <w:trPr>
          <w:trHeight w:val="200"/>
        </w:trPr>
        <w:tc>
          <w:tcPr>
            <w:tcW w:w="6000" w:type="dxa"/>
            <w:tcBorders>
              <w:top w:val="single" w:sz="6" w:space="0" w:color="auto"/>
              <w:bottom w:val="single" w:sz="6" w:space="0" w:color="auto"/>
              <w:right w:val="single" w:sz="6" w:space="0" w:color="auto"/>
            </w:tcBorders>
          </w:tcPr>
          <w:p w14:paraId="4F7D26C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F4571AB"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2471A1C3" w14:textId="77777777">
        <w:trPr>
          <w:trHeight w:val="200"/>
        </w:trPr>
        <w:tc>
          <w:tcPr>
            <w:tcW w:w="6000" w:type="dxa"/>
            <w:tcBorders>
              <w:top w:val="single" w:sz="6" w:space="0" w:color="auto"/>
              <w:bottom w:val="single" w:sz="6" w:space="0" w:color="auto"/>
              <w:right w:val="single" w:sz="6" w:space="0" w:color="auto"/>
            </w:tcBorders>
          </w:tcPr>
          <w:p w14:paraId="3AD5CDE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000" w:type="dxa"/>
            <w:tcBorders>
              <w:top w:val="single" w:sz="6" w:space="0" w:color="auto"/>
              <w:left w:val="single" w:sz="6" w:space="0" w:color="auto"/>
              <w:bottom w:val="single" w:sz="6" w:space="0" w:color="auto"/>
            </w:tcBorders>
          </w:tcPr>
          <w:p w14:paraId="3749C75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+380443540404</w:t>
            </w:r>
          </w:p>
        </w:tc>
      </w:tr>
      <w:tr w:rsidR="007469BF" w:rsidRPr="004229C1" w14:paraId="7A7FE5B4" w14:textId="77777777">
        <w:trPr>
          <w:trHeight w:val="200"/>
        </w:trPr>
        <w:tc>
          <w:tcPr>
            <w:tcW w:w="6000" w:type="dxa"/>
            <w:tcBorders>
              <w:top w:val="single" w:sz="6" w:space="0" w:color="auto"/>
              <w:bottom w:val="single" w:sz="6" w:space="0" w:color="auto"/>
              <w:right w:val="single" w:sz="6" w:space="0" w:color="auto"/>
            </w:tcBorders>
          </w:tcPr>
          <w:p w14:paraId="3657760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458C41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69.10 -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сферi</w:t>
            </w:r>
            <w:proofErr w:type="spellEnd"/>
            <w:r w:rsidRPr="004229C1">
              <w:rPr>
                <w:rFonts w:ascii="Times New Roman" w:hAnsi="Times New Roman" w:cs="Times New Roman"/>
                <w:kern w:val="0"/>
                <w:sz w:val="22"/>
                <w:szCs w:val="22"/>
                <w:lang w:val="uk-UA"/>
              </w:rPr>
              <w:t xml:space="preserve"> права</w:t>
            </w:r>
          </w:p>
          <w:p w14:paraId="6C685BE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70.22 - Консультування з питань </w:t>
            </w:r>
            <w:proofErr w:type="spellStart"/>
            <w:r w:rsidRPr="004229C1">
              <w:rPr>
                <w:rFonts w:ascii="Times New Roman" w:hAnsi="Times New Roman" w:cs="Times New Roman"/>
                <w:kern w:val="0"/>
                <w:sz w:val="22"/>
                <w:szCs w:val="22"/>
                <w:lang w:val="uk-UA"/>
              </w:rPr>
              <w:t>комерцiйної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й керування</w:t>
            </w:r>
          </w:p>
          <w:p w14:paraId="7A99D4A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73.20 - </w:t>
            </w:r>
            <w:proofErr w:type="spellStart"/>
            <w:r w:rsidRPr="004229C1">
              <w:rPr>
                <w:rFonts w:ascii="Times New Roman" w:hAnsi="Times New Roman" w:cs="Times New Roman"/>
                <w:kern w:val="0"/>
                <w:sz w:val="22"/>
                <w:szCs w:val="22"/>
                <w:lang w:val="uk-UA"/>
              </w:rPr>
              <w:t>Дослiдження</w:t>
            </w:r>
            <w:proofErr w:type="spellEnd"/>
            <w:r w:rsidRPr="004229C1">
              <w:rPr>
                <w:rFonts w:ascii="Times New Roman" w:hAnsi="Times New Roman" w:cs="Times New Roman"/>
                <w:kern w:val="0"/>
                <w:sz w:val="22"/>
                <w:szCs w:val="22"/>
                <w:lang w:val="uk-UA"/>
              </w:rPr>
              <w:t xml:space="preserve"> кон'юнктури ринку та виявлення громадської думки</w:t>
            </w:r>
          </w:p>
        </w:tc>
      </w:tr>
      <w:tr w:rsidR="007469BF" w:rsidRPr="004229C1" w14:paraId="37668F25" w14:textId="77777777">
        <w:trPr>
          <w:trHeight w:val="200"/>
        </w:trPr>
        <w:tc>
          <w:tcPr>
            <w:tcW w:w="6000" w:type="dxa"/>
            <w:tcBorders>
              <w:top w:val="single" w:sz="6" w:space="0" w:color="auto"/>
              <w:bottom w:val="single" w:sz="6" w:space="0" w:color="auto"/>
              <w:right w:val="single" w:sz="6" w:space="0" w:color="auto"/>
            </w:tcBorders>
          </w:tcPr>
          <w:p w14:paraId="179C1EE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000" w:type="dxa"/>
            <w:tcBorders>
              <w:top w:val="single" w:sz="6" w:space="0" w:color="auto"/>
              <w:left w:val="single" w:sz="6" w:space="0" w:color="auto"/>
              <w:bottom w:val="single" w:sz="6" w:space="0" w:color="auto"/>
            </w:tcBorders>
          </w:tcPr>
          <w:p w14:paraId="5B5A6F2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Юридичнi</w:t>
            </w:r>
            <w:proofErr w:type="spellEnd"/>
            <w:r w:rsidRPr="004229C1">
              <w:rPr>
                <w:rFonts w:ascii="Times New Roman" w:hAnsi="Times New Roman" w:cs="Times New Roman"/>
                <w:kern w:val="0"/>
                <w:sz w:val="22"/>
                <w:szCs w:val="22"/>
                <w:lang w:val="uk-UA"/>
              </w:rPr>
              <w:t xml:space="preserve"> послуги</w:t>
            </w:r>
          </w:p>
        </w:tc>
      </w:tr>
    </w:tbl>
    <w:p w14:paraId="748E5AD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7469BF" w:rsidRPr="004229C1" w14:paraId="6567DBE6" w14:textId="77777777">
        <w:trPr>
          <w:trHeight w:val="200"/>
        </w:trPr>
        <w:tc>
          <w:tcPr>
            <w:tcW w:w="6000" w:type="dxa"/>
            <w:tcBorders>
              <w:top w:val="single" w:sz="6" w:space="0" w:color="auto"/>
              <w:bottom w:val="single" w:sz="6" w:space="0" w:color="auto"/>
              <w:right w:val="single" w:sz="6" w:space="0" w:color="auto"/>
            </w:tcBorders>
          </w:tcPr>
          <w:p w14:paraId="143F4F6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000" w:type="dxa"/>
            <w:tcBorders>
              <w:top w:val="single" w:sz="6" w:space="0" w:color="auto"/>
              <w:left w:val="single" w:sz="6" w:space="0" w:color="auto"/>
              <w:bottom w:val="single" w:sz="6" w:space="0" w:color="auto"/>
            </w:tcBorders>
          </w:tcPr>
          <w:p w14:paraId="5BD715B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АДВОКАТСЬКЕ ОБ'ЄДНАННЯ "К&amp;П"</w:t>
            </w:r>
          </w:p>
        </w:tc>
      </w:tr>
      <w:tr w:rsidR="007469BF" w:rsidRPr="004229C1" w14:paraId="4B9DAC87" w14:textId="77777777">
        <w:trPr>
          <w:trHeight w:val="200"/>
        </w:trPr>
        <w:tc>
          <w:tcPr>
            <w:tcW w:w="6000" w:type="dxa"/>
            <w:tcBorders>
              <w:top w:val="single" w:sz="6" w:space="0" w:color="auto"/>
              <w:bottom w:val="single" w:sz="6" w:space="0" w:color="auto"/>
              <w:right w:val="single" w:sz="6" w:space="0" w:color="auto"/>
            </w:tcBorders>
          </w:tcPr>
          <w:p w14:paraId="5C6BF40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000" w:type="dxa"/>
            <w:tcBorders>
              <w:top w:val="single" w:sz="6" w:space="0" w:color="auto"/>
              <w:left w:val="single" w:sz="6" w:space="0" w:color="auto"/>
              <w:bottom w:val="single" w:sz="6" w:space="0" w:color="auto"/>
            </w:tcBorders>
          </w:tcPr>
          <w:p w14:paraId="347D727B"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68535812" w14:textId="77777777">
        <w:trPr>
          <w:trHeight w:val="200"/>
        </w:trPr>
        <w:tc>
          <w:tcPr>
            <w:tcW w:w="6000" w:type="dxa"/>
            <w:tcBorders>
              <w:top w:val="single" w:sz="6" w:space="0" w:color="auto"/>
              <w:bottom w:val="single" w:sz="6" w:space="0" w:color="auto"/>
              <w:right w:val="single" w:sz="6" w:space="0" w:color="auto"/>
            </w:tcBorders>
          </w:tcPr>
          <w:p w14:paraId="7AF09AB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000" w:type="dxa"/>
            <w:tcBorders>
              <w:top w:val="single" w:sz="6" w:space="0" w:color="auto"/>
              <w:left w:val="single" w:sz="6" w:space="0" w:color="auto"/>
              <w:bottom w:val="single" w:sz="6" w:space="0" w:color="auto"/>
            </w:tcBorders>
          </w:tcPr>
          <w:p w14:paraId="7B6B8ED4"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31FB0512" w14:textId="77777777">
        <w:trPr>
          <w:trHeight w:val="200"/>
        </w:trPr>
        <w:tc>
          <w:tcPr>
            <w:tcW w:w="6000" w:type="dxa"/>
            <w:tcBorders>
              <w:top w:val="single" w:sz="6" w:space="0" w:color="auto"/>
              <w:bottom w:val="single" w:sz="6" w:space="0" w:color="auto"/>
              <w:right w:val="single" w:sz="6" w:space="0" w:color="auto"/>
            </w:tcBorders>
          </w:tcPr>
          <w:p w14:paraId="60668A8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000" w:type="dxa"/>
            <w:tcBorders>
              <w:top w:val="single" w:sz="6" w:space="0" w:color="auto"/>
              <w:left w:val="single" w:sz="6" w:space="0" w:color="auto"/>
              <w:bottom w:val="single" w:sz="6" w:space="0" w:color="auto"/>
            </w:tcBorders>
          </w:tcPr>
          <w:p w14:paraId="58DD044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Інші організаційно-правові форми</w:t>
            </w:r>
          </w:p>
        </w:tc>
      </w:tr>
      <w:tr w:rsidR="007469BF" w:rsidRPr="004229C1" w14:paraId="312B2D23" w14:textId="77777777">
        <w:trPr>
          <w:trHeight w:val="200"/>
        </w:trPr>
        <w:tc>
          <w:tcPr>
            <w:tcW w:w="6000" w:type="dxa"/>
            <w:tcBorders>
              <w:top w:val="single" w:sz="6" w:space="0" w:color="auto"/>
              <w:bottom w:val="single" w:sz="6" w:space="0" w:color="auto"/>
              <w:right w:val="single" w:sz="6" w:space="0" w:color="auto"/>
            </w:tcBorders>
          </w:tcPr>
          <w:p w14:paraId="05FE4A2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76E652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40179518</w:t>
            </w:r>
          </w:p>
        </w:tc>
      </w:tr>
      <w:tr w:rsidR="007469BF" w:rsidRPr="004229C1" w14:paraId="20B078DA" w14:textId="77777777">
        <w:trPr>
          <w:trHeight w:val="200"/>
        </w:trPr>
        <w:tc>
          <w:tcPr>
            <w:tcW w:w="6000" w:type="dxa"/>
            <w:tcBorders>
              <w:top w:val="single" w:sz="6" w:space="0" w:color="auto"/>
              <w:bottom w:val="single" w:sz="6" w:space="0" w:color="auto"/>
              <w:right w:val="single" w:sz="6" w:space="0" w:color="auto"/>
            </w:tcBorders>
          </w:tcPr>
          <w:p w14:paraId="606F526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000" w:type="dxa"/>
            <w:tcBorders>
              <w:top w:val="single" w:sz="6" w:space="0" w:color="auto"/>
              <w:left w:val="single" w:sz="6" w:space="0" w:color="auto"/>
              <w:bottom w:val="single" w:sz="6" w:space="0" w:color="auto"/>
            </w:tcBorders>
          </w:tcPr>
          <w:p w14:paraId="29B85C0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03049, Україна, Київ, </w:t>
            </w:r>
            <w:proofErr w:type="spellStart"/>
            <w:r w:rsidRPr="004229C1">
              <w:rPr>
                <w:rFonts w:ascii="Times New Roman" w:hAnsi="Times New Roman" w:cs="Times New Roman"/>
                <w:kern w:val="0"/>
                <w:sz w:val="22"/>
                <w:szCs w:val="22"/>
                <w:lang w:val="uk-UA"/>
              </w:rPr>
              <w:t>вул.Кобелєва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Архiтектора</w:t>
            </w:r>
            <w:proofErr w:type="spellEnd"/>
            <w:r w:rsidRPr="004229C1">
              <w:rPr>
                <w:rFonts w:ascii="Times New Roman" w:hAnsi="Times New Roman" w:cs="Times New Roman"/>
                <w:kern w:val="0"/>
                <w:sz w:val="22"/>
                <w:szCs w:val="22"/>
                <w:lang w:val="uk-UA"/>
              </w:rPr>
              <w:t>, буд. 1/7, оф 303</w:t>
            </w:r>
          </w:p>
        </w:tc>
      </w:tr>
      <w:tr w:rsidR="007469BF" w:rsidRPr="004229C1" w14:paraId="1243A464" w14:textId="77777777">
        <w:trPr>
          <w:trHeight w:val="200"/>
        </w:trPr>
        <w:tc>
          <w:tcPr>
            <w:tcW w:w="6000" w:type="dxa"/>
            <w:tcBorders>
              <w:top w:val="single" w:sz="6" w:space="0" w:color="auto"/>
              <w:bottom w:val="single" w:sz="6" w:space="0" w:color="auto"/>
              <w:right w:val="single" w:sz="6" w:space="0" w:color="auto"/>
            </w:tcBorders>
          </w:tcPr>
          <w:p w14:paraId="2D190F0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5622C2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315992D5" w14:textId="77777777">
        <w:trPr>
          <w:trHeight w:val="200"/>
        </w:trPr>
        <w:tc>
          <w:tcPr>
            <w:tcW w:w="6000" w:type="dxa"/>
            <w:tcBorders>
              <w:top w:val="single" w:sz="6" w:space="0" w:color="auto"/>
              <w:bottom w:val="single" w:sz="6" w:space="0" w:color="auto"/>
              <w:right w:val="single" w:sz="6" w:space="0" w:color="auto"/>
            </w:tcBorders>
          </w:tcPr>
          <w:p w14:paraId="48063ED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2A6500B"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5E9AC2E4" w14:textId="77777777">
        <w:trPr>
          <w:trHeight w:val="200"/>
        </w:trPr>
        <w:tc>
          <w:tcPr>
            <w:tcW w:w="6000" w:type="dxa"/>
            <w:tcBorders>
              <w:top w:val="single" w:sz="6" w:space="0" w:color="auto"/>
              <w:bottom w:val="single" w:sz="6" w:space="0" w:color="auto"/>
              <w:right w:val="single" w:sz="6" w:space="0" w:color="auto"/>
            </w:tcBorders>
          </w:tcPr>
          <w:p w14:paraId="5462D13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6E020585"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3FDBFA79" w14:textId="77777777">
        <w:trPr>
          <w:trHeight w:val="200"/>
        </w:trPr>
        <w:tc>
          <w:tcPr>
            <w:tcW w:w="6000" w:type="dxa"/>
            <w:tcBorders>
              <w:top w:val="single" w:sz="6" w:space="0" w:color="auto"/>
              <w:bottom w:val="single" w:sz="6" w:space="0" w:color="auto"/>
              <w:right w:val="single" w:sz="6" w:space="0" w:color="auto"/>
            </w:tcBorders>
          </w:tcPr>
          <w:p w14:paraId="72337D2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000" w:type="dxa"/>
            <w:tcBorders>
              <w:top w:val="single" w:sz="6" w:space="0" w:color="auto"/>
              <w:left w:val="single" w:sz="6" w:space="0" w:color="auto"/>
              <w:bottom w:val="single" w:sz="6" w:space="0" w:color="auto"/>
            </w:tcBorders>
          </w:tcPr>
          <w:p w14:paraId="3C55BA6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+380937523856</w:t>
            </w:r>
          </w:p>
        </w:tc>
      </w:tr>
      <w:tr w:rsidR="007469BF" w:rsidRPr="004229C1" w14:paraId="49E333AA" w14:textId="77777777">
        <w:trPr>
          <w:trHeight w:val="200"/>
        </w:trPr>
        <w:tc>
          <w:tcPr>
            <w:tcW w:w="6000" w:type="dxa"/>
            <w:tcBorders>
              <w:top w:val="single" w:sz="6" w:space="0" w:color="auto"/>
              <w:bottom w:val="single" w:sz="6" w:space="0" w:color="auto"/>
              <w:right w:val="single" w:sz="6" w:space="0" w:color="auto"/>
            </w:tcBorders>
          </w:tcPr>
          <w:p w14:paraId="7524C8A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1F3185B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69.10 -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сферi</w:t>
            </w:r>
            <w:proofErr w:type="spellEnd"/>
            <w:r w:rsidRPr="004229C1">
              <w:rPr>
                <w:rFonts w:ascii="Times New Roman" w:hAnsi="Times New Roman" w:cs="Times New Roman"/>
                <w:kern w:val="0"/>
                <w:sz w:val="22"/>
                <w:szCs w:val="22"/>
                <w:lang w:val="uk-UA"/>
              </w:rPr>
              <w:t xml:space="preserve"> права</w:t>
            </w:r>
          </w:p>
        </w:tc>
      </w:tr>
      <w:tr w:rsidR="007469BF" w:rsidRPr="004229C1" w14:paraId="03F49287" w14:textId="77777777">
        <w:trPr>
          <w:trHeight w:val="200"/>
        </w:trPr>
        <w:tc>
          <w:tcPr>
            <w:tcW w:w="6000" w:type="dxa"/>
            <w:tcBorders>
              <w:top w:val="single" w:sz="6" w:space="0" w:color="auto"/>
              <w:bottom w:val="single" w:sz="6" w:space="0" w:color="auto"/>
              <w:right w:val="single" w:sz="6" w:space="0" w:color="auto"/>
            </w:tcBorders>
          </w:tcPr>
          <w:p w14:paraId="2C41E27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000" w:type="dxa"/>
            <w:tcBorders>
              <w:top w:val="single" w:sz="6" w:space="0" w:color="auto"/>
              <w:left w:val="single" w:sz="6" w:space="0" w:color="auto"/>
              <w:bottom w:val="single" w:sz="6" w:space="0" w:color="auto"/>
            </w:tcBorders>
          </w:tcPr>
          <w:p w14:paraId="7699C3A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Юридичнi</w:t>
            </w:r>
            <w:proofErr w:type="spellEnd"/>
            <w:r w:rsidRPr="004229C1">
              <w:rPr>
                <w:rFonts w:ascii="Times New Roman" w:hAnsi="Times New Roman" w:cs="Times New Roman"/>
                <w:kern w:val="0"/>
                <w:sz w:val="22"/>
                <w:szCs w:val="22"/>
                <w:lang w:val="uk-UA"/>
              </w:rPr>
              <w:t xml:space="preserve"> послуги</w:t>
            </w:r>
          </w:p>
        </w:tc>
      </w:tr>
    </w:tbl>
    <w:p w14:paraId="58A5EE07"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7469BF" w:rsidRPr="004229C1" w14:paraId="7F7621E2" w14:textId="77777777">
        <w:trPr>
          <w:trHeight w:val="200"/>
        </w:trPr>
        <w:tc>
          <w:tcPr>
            <w:tcW w:w="6000" w:type="dxa"/>
            <w:tcBorders>
              <w:top w:val="single" w:sz="6" w:space="0" w:color="auto"/>
              <w:bottom w:val="single" w:sz="6" w:space="0" w:color="auto"/>
              <w:right w:val="single" w:sz="6" w:space="0" w:color="auto"/>
            </w:tcBorders>
          </w:tcPr>
          <w:p w14:paraId="70A96A1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000" w:type="dxa"/>
            <w:tcBorders>
              <w:top w:val="single" w:sz="6" w:space="0" w:color="auto"/>
              <w:left w:val="single" w:sz="6" w:space="0" w:color="auto"/>
              <w:bottom w:val="single" w:sz="6" w:space="0" w:color="auto"/>
            </w:tcBorders>
          </w:tcPr>
          <w:p w14:paraId="2E57F59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"Рейтингове агентство "СТАНДАРТ-РЕЙТИНГ</w:t>
            </w:r>
          </w:p>
        </w:tc>
      </w:tr>
      <w:tr w:rsidR="007469BF" w:rsidRPr="004229C1" w14:paraId="7B0097E2" w14:textId="77777777">
        <w:trPr>
          <w:trHeight w:val="200"/>
        </w:trPr>
        <w:tc>
          <w:tcPr>
            <w:tcW w:w="6000" w:type="dxa"/>
            <w:tcBorders>
              <w:top w:val="single" w:sz="6" w:space="0" w:color="auto"/>
              <w:bottom w:val="single" w:sz="6" w:space="0" w:color="auto"/>
              <w:right w:val="single" w:sz="6" w:space="0" w:color="auto"/>
            </w:tcBorders>
          </w:tcPr>
          <w:p w14:paraId="71FECE7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000" w:type="dxa"/>
            <w:tcBorders>
              <w:top w:val="single" w:sz="6" w:space="0" w:color="auto"/>
              <w:left w:val="single" w:sz="6" w:space="0" w:color="auto"/>
              <w:bottom w:val="single" w:sz="6" w:space="0" w:color="auto"/>
            </w:tcBorders>
          </w:tcPr>
          <w:p w14:paraId="5744871F"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1361A329" w14:textId="77777777">
        <w:trPr>
          <w:trHeight w:val="200"/>
        </w:trPr>
        <w:tc>
          <w:tcPr>
            <w:tcW w:w="6000" w:type="dxa"/>
            <w:tcBorders>
              <w:top w:val="single" w:sz="6" w:space="0" w:color="auto"/>
              <w:bottom w:val="single" w:sz="6" w:space="0" w:color="auto"/>
              <w:right w:val="single" w:sz="6" w:space="0" w:color="auto"/>
            </w:tcBorders>
          </w:tcPr>
          <w:p w14:paraId="60CFC15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000" w:type="dxa"/>
            <w:tcBorders>
              <w:top w:val="single" w:sz="6" w:space="0" w:color="auto"/>
              <w:left w:val="single" w:sz="6" w:space="0" w:color="auto"/>
              <w:bottom w:val="single" w:sz="6" w:space="0" w:color="auto"/>
            </w:tcBorders>
          </w:tcPr>
          <w:p w14:paraId="1D384952"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1AC36FF2" w14:textId="77777777">
        <w:trPr>
          <w:trHeight w:val="200"/>
        </w:trPr>
        <w:tc>
          <w:tcPr>
            <w:tcW w:w="6000" w:type="dxa"/>
            <w:tcBorders>
              <w:top w:val="single" w:sz="6" w:space="0" w:color="auto"/>
              <w:bottom w:val="single" w:sz="6" w:space="0" w:color="auto"/>
              <w:right w:val="single" w:sz="6" w:space="0" w:color="auto"/>
            </w:tcBorders>
          </w:tcPr>
          <w:p w14:paraId="23BD239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000" w:type="dxa"/>
            <w:tcBorders>
              <w:top w:val="single" w:sz="6" w:space="0" w:color="auto"/>
              <w:left w:val="single" w:sz="6" w:space="0" w:color="auto"/>
              <w:bottom w:val="single" w:sz="6" w:space="0" w:color="auto"/>
            </w:tcBorders>
          </w:tcPr>
          <w:p w14:paraId="2A0B9E4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7469BF" w:rsidRPr="004229C1" w14:paraId="381984B2" w14:textId="77777777">
        <w:trPr>
          <w:trHeight w:val="200"/>
        </w:trPr>
        <w:tc>
          <w:tcPr>
            <w:tcW w:w="6000" w:type="dxa"/>
            <w:tcBorders>
              <w:top w:val="single" w:sz="6" w:space="0" w:color="auto"/>
              <w:bottom w:val="single" w:sz="6" w:space="0" w:color="auto"/>
              <w:right w:val="single" w:sz="6" w:space="0" w:color="auto"/>
            </w:tcBorders>
          </w:tcPr>
          <w:p w14:paraId="56AA573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FE039E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37413337</w:t>
            </w:r>
          </w:p>
        </w:tc>
      </w:tr>
      <w:tr w:rsidR="007469BF" w:rsidRPr="004229C1" w14:paraId="77EAF495" w14:textId="77777777">
        <w:trPr>
          <w:trHeight w:val="200"/>
        </w:trPr>
        <w:tc>
          <w:tcPr>
            <w:tcW w:w="6000" w:type="dxa"/>
            <w:tcBorders>
              <w:top w:val="single" w:sz="6" w:space="0" w:color="auto"/>
              <w:bottom w:val="single" w:sz="6" w:space="0" w:color="auto"/>
              <w:right w:val="single" w:sz="6" w:space="0" w:color="auto"/>
            </w:tcBorders>
          </w:tcPr>
          <w:p w14:paraId="4604623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000" w:type="dxa"/>
            <w:tcBorders>
              <w:top w:val="single" w:sz="6" w:space="0" w:color="auto"/>
              <w:left w:val="single" w:sz="6" w:space="0" w:color="auto"/>
              <w:bottom w:val="single" w:sz="6" w:space="0" w:color="auto"/>
            </w:tcBorders>
          </w:tcPr>
          <w:p w14:paraId="3139227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04071, Україна, Київ, вул. В. Вал, 4-А</w:t>
            </w:r>
          </w:p>
        </w:tc>
      </w:tr>
      <w:tr w:rsidR="007469BF" w:rsidRPr="004229C1" w14:paraId="5CB96CBE" w14:textId="77777777">
        <w:trPr>
          <w:trHeight w:val="200"/>
        </w:trPr>
        <w:tc>
          <w:tcPr>
            <w:tcW w:w="6000" w:type="dxa"/>
            <w:tcBorders>
              <w:top w:val="single" w:sz="6" w:space="0" w:color="auto"/>
              <w:bottom w:val="single" w:sz="6" w:space="0" w:color="auto"/>
              <w:right w:val="single" w:sz="6" w:space="0" w:color="auto"/>
            </w:tcBorders>
          </w:tcPr>
          <w:p w14:paraId="0BB5E66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C55A575" w14:textId="52EFE246"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Свiдоцтво</w:t>
            </w:r>
            <w:proofErr w:type="spellEnd"/>
            <w:r w:rsidRPr="004229C1">
              <w:rPr>
                <w:rFonts w:ascii="Times New Roman" w:hAnsi="Times New Roman" w:cs="Times New Roman"/>
                <w:kern w:val="0"/>
                <w:sz w:val="22"/>
                <w:szCs w:val="22"/>
                <w:lang w:val="uk-UA"/>
              </w:rPr>
              <w:t xml:space="preserve"> №8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10.</w:t>
            </w:r>
            <w:r w:rsidR="000D43D3" w:rsidRPr="004229C1">
              <w:rPr>
                <w:rFonts w:ascii="Times New Roman" w:hAnsi="Times New Roman" w:cs="Times New Roman"/>
                <w:kern w:val="0"/>
                <w:sz w:val="22"/>
                <w:szCs w:val="22"/>
                <w:lang w:val="uk-UA"/>
              </w:rPr>
              <w:t>04.2012</w:t>
            </w:r>
          </w:p>
        </w:tc>
      </w:tr>
      <w:tr w:rsidR="007469BF" w:rsidRPr="004229C1" w14:paraId="1E7ED10F" w14:textId="77777777">
        <w:trPr>
          <w:trHeight w:val="200"/>
        </w:trPr>
        <w:tc>
          <w:tcPr>
            <w:tcW w:w="6000" w:type="dxa"/>
            <w:tcBorders>
              <w:top w:val="single" w:sz="6" w:space="0" w:color="auto"/>
              <w:bottom w:val="single" w:sz="6" w:space="0" w:color="auto"/>
              <w:right w:val="single" w:sz="6" w:space="0" w:color="auto"/>
            </w:tcBorders>
          </w:tcPr>
          <w:p w14:paraId="508D9CC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3C52DE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НКЦПФР</w:t>
            </w:r>
          </w:p>
        </w:tc>
      </w:tr>
      <w:tr w:rsidR="007469BF" w:rsidRPr="004229C1" w14:paraId="36D62034" w14:textId="77777777">
        <w:trPr>
          <w:trHeight w:val="200"/>
        </w:trPr>
        <w:tc>
          <w:tcPr>
            <w:tcW w:w="6000" w:type="dxa"/>
            <w:tcBorders>
              <w:top w:val="single" w:sz="6" w:space="0" w:color="auto"/>
              <w:bottom w:val="single" w:sz="6" w:space="0" w:color="auto"/>
              <w:right w:val="single" w:sz="6" w:space="0" w:color="auto"/>
            </w:tcBorders>
          </w:tcPr>
          <w:p w14:paraId="0226F3A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B5D56C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10.04.2012</w:t>
            </w:r>
          </w:p>
        </w:tc>
      </w:tr>
      <w:tr w:rsidR="007469BF" w:rsidRPr="004229C1" w14:paraId="6761083D" w14:textId="77777777">
        <w:trPr>
          <w:trHeight w:val="200"/>
        </w:trPr>
        <w:tc>
          <w:tcPr>
            <w:tcW w:w="6000" w:type="dxa"/>
            <w:tcBorders>
              <w:top w:val="single" w:sz="6" w:space="0" w:color="auto"/>
              <w:bottom w:val="single" w:sz="6" w:space="0" w:color="auto"/>
              <w:right w:val="single" w:sz="6" w:space="0" w:color="auto"/>
            </w:tcBorders>
          </w:tcPr>
          <w:p w14:paraId="4F9E3F8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000" w:type="dxa"/>
            <w:tcBorders>
              <w:top w:val="single" w:sz="6" w:space="0" w:color="auto"/>
              <w:left w:val="single" w:sz="6" w:space="0" w:color="auto"/>
              <w:bottom w:val="single" w:sz="6" w:space="0" w:color="auto"/>
            </w:tcBorders>
          </w:tcPr>
          <w:p w14:paraId="04F9348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+380442325071</w:t>
            </w:r>
          </w:p>
        </w:tc>
      </w:tr>
      <w:tr w:rsidR="007469BF" w:rsidRPr="004229C1" w14:paraId="7BE4E194" w14:textId="77777777">
        <w:trPr>
          <w:trHeight w:val="200"/>
        </w:trPr>
        <w:tc>
          <w:tcPr>
            <w:tcW w:w="6000" w:type="dxa"/>
            <w:tcBorders>
              <w:top w:val="single" w:sz="6" w:space="0" w:color="auto"/>
              <w:bottom w:val="single" w:sz="6" w:space="0" w:color="auto"/>
              <w:right w:val="single" w:sz="6" w:space="0" w:color="auto"/>
            </w:tcBorders>
          </w:tcPr>
          <w:p w14:paraId="10860D4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1B79BE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70.22 - Консультування з питань </w:t>
            </w:r>
            <w:proofErr w:type="spellStart"/>
            <w:r w:rsidRPr="004229C1">
              <w:rPr>
                <w:rFonts w:ascii="Times New Roman" w:hAnsi="Times New Roman" w:cs="Times New Roman"/>
                <w:kern w:val="0"/>
                <w:sz w:val="22"/>
                <w:szCs w:val="22"/>
                <w:lang w:val="uk-UA"/>
              </w:rPr>
              <w:t>комерцiйної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й керування</w:t>
            </w:r>
          </w:p>
        </w:tc>
      </w:tr>
      <w:tr w:rsidR="007469BF" w:rsidRPr="004229C1" w14:paraId="07002E27" w14:textId="77777777">
        <w:trPr>
          <w:trHeight w:val="200"/>
        </w:trPr>
        <w:tc>
          <w:tcPr>
            <w:tcW w:w="6000" w:type="dxa"/>
            <w:tcBorders>
              <w:top w:val="single" w:sz="6" w:space="0" w:color="auto"/>
              <w:bottom w:val="single" w:sz="6" w:space="0" w:color="auto"/>
              <w:right w:val="single" w:sz="6" w:space="0" w:color="auto"/>
            </w:tcBorders>
          </w:tcPr>
          <w:p w14:paraId="16AEE3D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000" w:type="dxa"/>
            <w:tcBorders>
              <w:top w:val="single" w:sz="6" w:space="0" w:color="auto"/>
              <w:left w:val="single" w:sz="6" w:space="0" w:color="auto"/>
              <w:bottom w:val="single" w:sz="6" w:space="0" w:color="auto"/>
            </w:tcBorders>
          </w:tcPr>
          <w:p w14:paraId="4E68012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Рейтингове агентство - присвоєння i </w:t>
            </w:r>
            <w:proofErr w:type="spellStart"/>
            <w:r w:rsidRPr="004229C1">
              <w:rPr>
                <w:rFonts w:ascii="Times New Roman" w:hAnsi="Times New Roman" w:cs="Times New Roman"/>
                <w:kern w:val="0"/>
                <w:sz w:val="22"/>
                <w:szCs w:val="22"/>
                <w:lang w:val="uk-UA"/>
              </w:rPr>
              <w:t>пiдтримка</w:t>
            </w:r>
            <w:proofErr w:type="spellEnd"/>
            <w:r w:rsidRPr="004229C1">
              <w:rPr>
                <w:rFonts w:ascii="Times New Roman" w:hAnsi="Times New Roman" w:cs="Times New Roman"/>
                <w:kern w:val="0"/>
                <w:sz w:val="22"/>
                <w:szCs w:val="22"/>
                <w:lang w:val="uk-UA"/>
              </w:rPr>
              <w:t xml:space="preserve"> кредитних </w:t>
            </w:r>
            <w:proofErr w:type="spellStart"/>
            <w:r w:rsidRPr="004229C1">
              <w:rPr>
                <w:rFonts w:ascii="Times New Roman" w:hAnsi="Times New Roman" w:cs="Times New Roman"/>
                <w:kern w:val="0"/>
                <w:sz w:val="22"/>
                <w:szCs w:val="22"/>
                <w:lang w:val="uk-UA"/>
              </w:rPr>
              <w:t>рейтингiв</w:t>
            </w:r>
            <w:proofErr w:type="spellEnd"/>
          </w:p>
        </w:tc>
      </w:tr>
    </w:tbl>
    <w:p w14:paraId="2CF73582"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7469BF" w:rsidRPr="004229C1" w14:paraId="22FEAAFA" w14:textId="77777777">
        <w:trPr>
          <w:trHeight w:val="200"/>
        </w:trPr>
        <w:tc>
          <w:tcPr>
            <w:tcW w:w="6000" w:type="dxa"/>
            <w:tcBorders>
              <w:top w:val="single" w:sz="6" w:space="0" w:color="auto"/>
              <w:bottom w:val="single" w:sz="6" w:space="0" w:color="auto"/>
              <w:right w:val="single" w:sz="6" w:space="0" w:color="auto"/>
            </w:tcBorders>
          </w:tcPr>
          <w:p w14:paraId="22CC7D9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000" w:type="dxa"/>
            <w:tcBorders>
              <w:top w:val="single" w:sz="6" w:space="0" w:color="auto"/>
              <w:left w:val="single" w:sz="6" w:space="0" w:color="auto"/>
              <w:bottom w:val="single" w:sz="6" w:space="0" w:color="auto"/>
            </w:tcBorders>
          </w:tcPr>
          <w:p w14:paraId="19F9E62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"Ернст </w:t>
            </w:r>
            <w:proofErr w:type="spellStart"/>
            <w:r w:rsidRPr="004229C1">
              <w:rPr>
                <w:rFonts w:ascii="Times New Roman" w:hAnsi="Times New Roman" w:cs="Times New Roman"/>
                <w:kern w:val="0"/>
                <w:sz w:val="22"/>
                <w:szCs w:val="22"/>
                <w:lang w:val="uk-UA"/>
              </w:rPr>
              <w:t>енд</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Янг</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Аудиторськi</w:t>
            </w:r>
            <w:proofErr w:type="spellEnd"/>
            <w:r w:rsidRPr="004229C1">
              <w:rPr>
                <w:rFonts w:ascii="Times New Roman" w:hAnsi="Times New Roman" w:cs="Times New Roman"/>
                <w:kern w:val="0"/>
                <w:sz w:val="22"/>
                <w:szCs w:val="22"/>
                <w:lang w:val="uk-UA"/>
              </w:rPr>
              <w:t xml:space="preserve"> послуги"</w:t>
            </w:r>
          </w:p>
        </w:tc>
      </w:tr>
      <w:tr w:rsidR="007469BF" w:rsidRPr="004229C1" w14:paraId="28E5E857" w14:textId="77777777">
        <w:trPr>
          <w:trHeight w:val="200"/>
        </w:trPr>
        <w:tc>
          <w:tcPr>
            <w:tcW w:w="6000" w:type="dxa"/>
            <w:tcBorders>
              <w:top w:val="single" w:sz="6" w:space="0" w:color="auto"/>
              <w:bottom w:val="single" w:sz="6" w:space="0" w:color="auto"/>
              <w:right w:val="single" w:sz="6" w:space="0" w:color="auto"/>
            </w:tcBorders>
          </w:tcPr>
          <w:p w14:paraId="1EF1FFA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000" w:type="dxa"/>
            <w:tcBorders>
              <w:top w:val="single" w:sz="6" w:space="0" w:color="auto"/>
              <w:left w:val="single" w:sz="6" w:space="0" w:color="auto"/>
              <w:bottom w:val="single" w:sz="6" w:space="0" w:color="auto"/>
            </w:tcBorders>
          </w:tcPr>
          <w:p w14:paraId="44E88FEA"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0B92F53B" w14:textId="77777777">
        <w:trPr>
          <w:trHeight w:val="200"/>
        </w:trPr>
        <w:tc>
          <w:tcPr>
            <w:tcW w:w="6000" w:type="dxa"/>
            <w:tcBorders>
              <w:top w:val="single" w:sz="6" w:space="0" w:color="auto"/>
              <w:bottom w:val="single" w:sz="6" w:space="0" w:color="auto"/>
              <w:right w:val="single" w:sz="6" w:space="0" w:color="auto"/>
            </w:tcBorders>
          </w:tcPr>
          <w:p w14:paraId="170F0D6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000" w:type="dxa"/>
            <w:tcBorders>
              <w:top w:val="single" w:sz="6" w:space="0" w:color="auto"/>
              <w:left w:val="single" w:sz="6" w:space="0" w:color="auto"/>
              <w:bottom w:val="single" w:sz="6" w:space="0" w:color="auto"/>
            </w:tcBorders>
          </w:tcPr>
          <w:p w14:paraId="3781D9F2"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7469BF" w:rsidRPr="004229C1" w14:paraId="6B9C180F" w14:textId="77777777">
        <w:trPr>
          <w:trHeight w:val="200"/>
        </w:trPr>
        <w:tc>
          <w:tcPr>
            <w:tcW w:w="6000" w:type="dxa"/>
            <w:tcBorders>
              <w:top w:val="single" w:sz="6" w:space="0" w:color="auto"/>
              <w:bottom w:val="single" w:sz="6" w:space="0" w:color="auto"/>
              <w:right w:val="single" w:sz="6" w:space="0" w:color="auto"/>
            </w:tcBorders>
          </w:tcPr>
          <w:p w14:paraId="1FD6838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000" w:type="dxa"/>
            <w:tcBorders>
              <w:top w:val="single" w:sz="6" w:space="0" w:color="auto"/>
              <w:left w:val="single" w:sz="6" w:space="0" w:color="auto"/>
              <w:bottom w:val="single" w:sz="6" w:space="0" w:color="auto"/>
            </w:tcBorders>
          </w:tcPr>
          <w:p w14:paraId="038049C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7469BF" w:rsidRPr="004229C1" w14:paraId="7A5B5230" w14:textId="77777777">
        <w:trPr>
          <w:trHeight w:val="200"/>
        </w:trPr>
        <w:tc>
          <w:tcPr>
            <w:tcW w:w="6000" w:type="dxa"/>
            <w:tcBorders>
              <w:top w:val="single" w:sz="6" w:space="0" w:color="auto"/>
              <w:bottom w:val="single" w:sz="6" w:space="0" w:color="auto"/>
              <w:right w:val="single" w:sz="6" w:space="0" w:color="auto"/>
            </w:tcBorders>
          </w:tcPr>
          <w:p w14:paraId="5E53E87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4090D9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33306921</w:t>
            </w:r>
          </w:p>
        </w:tc>
      </w:tr>
      <w:tr w:rsidR="007469BF" w:rsidRPr="004229C1" w14:paraId="2C64B07A" w14:textId="77777777">
        <w:trPr>
          <w:trHeight w:val="200"/>
        </w:trPr>
        <w:tc>
          <w:tcPr>
            <w:tcW w:w="6000" w:type="dxa"/>
            <w:tcBorders>
              <w:top w:val="single" w:sz="6" w:space="0" w:color="auto"/>
              <w:bottom w:val="single" w:sz="6" w:space="0" w:color="auto"/>
              <w:right w:val="single" w:sz="6" w:space="0" w:color="auto"/>
            </w:tcBorders>
          </w:tcPr>
          <w:p w14:paraId="1C6CF0B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000" w:type="dxa"/>
            <w:tcBorders>
              <w:top w:val="single" w:sz="6" w:space="0" w:color="auto"/>
              <w:left w:val="single" w:sz="6" w:space="0" w:color="auto"/>
              <w:bottom w:val="single" w:sz="6" w:space="0" w:color="auto"/>
            </w:tcBorders>
          </w:tcPr>
          <w:p w14:paraId="1A5AE73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01001, Україна, Київ, вул. Хрещатик, 19а</w:t>
            </w:r>
          </w:p>
        </w:tc>
      </w:tr>
      <w:tr w:rsidR="007469BF" w:rsidRPr="004229C1" w14:paraId="20D40ADD" w14:textId="77777777">
        <w:trPr>
          <w:trHeight w:val="200"/>
        </w:trPr>
        <w:tc>
          <w:tcPr>
            <w:tcW w:w="6000" w:type="dxa"/>
            <w:tcBorders>
              <w:top w:val="single" w:sz="6" w:space="0" w:color="auto"/>
              <w:bottom w:val="single" w:sz="6" w:space="0" w:color="auto"/>
              <w:right w:val="single" w:sz="6" w:space="0" w:color="auto"/>
            </w:tcBorders>
          </w:tcPr>
          <w:p w14:paraId="2DD2F21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09E37E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3516</w:t>
            </w:r>
          </w:p>
        </w:tc>
      </w:tr>
      <w:tr w:rsidR="007469BF" w:rsidRPr="004229C1" w14:paraId="01000503" w14:textId="77777777">
        <w:trPr>
          <w:trHeight w:val="200"/>
        </w:trPr>
        <w:tc>
          <w:tcPr>
            <w:tcW w:w="6000" w:type="dxa"/>
            <w:tcBorders>
              <w:top w:val="single" w:sz="6" w:space="0" w:color="auto"/>
              <w:bottom w:val="single" w:sz="6" w:space="0" w:color="auto"/>
              <w:right w:val="single" w:sz="6" w:space="0" w:color="auto"/>
            </w:tcBorders>
          </w:tcPr>
          <w:p w14:paraId="01B1879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2AC8F3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Орган </w:t>
            </w:r>
            <w:proofErr w:type="spellStart"/>
            <w:r w:rsidRPr="004229C1">
              <w:rPr>
                <w:rFonts w:ascii="Times New Roman" w:hAnsi="Times New Roman" w:cs="Times New Roman"/>
                <w:kern w:val="0"/>
                <w:sz w:val="22"/>
                <w:szCs w:val="22"/>
                <w:lang w:val="uk-UA"/>
              </w:rPr>
              <w:t>суспiльного</w:t>
            </w:r>
            <w:proofErr w:type="spellEnd"/>
            <w:r w:rsidRPr="004229C1">
              <w:rPr>
                <w:rFonts w:ascii="Times New Roman" w:hAnsi="Times New Roman" w:cs="Times New Roman"/>
                <w:kern w:val="0"/>
                <w:sz w:val="22"/>
                <w:szCs w:val="22"/>
                <w:lang w:val="uk-UA"/>
              </w:rPr>
              <w:t xml:space="preserve"> нагляду за аудиторською </w:t>
            </w:r>
            <w:proofErr w:type="spellStart"/>
            <w:r w:rsidRPr="004229C1">
              <w:rPr>
                <w:rFonts w:ascii="Times New Roman" w:hAnsi="Times New Roman" w:cs="Times New Roman"/>
                <w:kern w:val="0"/>
                <w:sz w:val="22"/>
                <w:szCs w:val="22"/>
                <w:lang w:val="uk-UA"/>
              </w:rPr>
              <w:t>дiяльнiстю</w:t>
            </w:r>
            <w:proofErr w:type="spellEnd"/>
          </w:p>
        </w:tc>
      </w:tr>
      <w:tr w:rsidR="007469BF" w:rsidRPr="004229C1" w14:paraId="217D9ECA" w14:textId="77777777">
        <w:trPr>
          <w:trHeight w:val="200"/>
        </w:trPr>
        <w:tc>
          <w:tcPr>
            <w:tcW w:w="6000" w:type="dxa"/>
            <w:tcBorders>
              <w:top w:val="single" w:sz="6" w:space="0" w:color="auto"/>
              <w:bottom w:val="single" w:sz="6" w:space="0" w:color="auto"/>
              <w:right w:val="single" w:sz="6" w:space="0" w:color="auto"/>
            </w:tcBorders>
          </w:tcPr>
          <w:p w14:paraId="78CCF32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6998AEF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27.12.2018</w:t>
            </w:r>
          </w:p>
        </w:tc>
      </w:tr>
      <w:tr w:rsidR="007469BF" w:rsidRPr="004229C1" w14:paraId="1E1CC645" w14:textId="77777777">
        <w:trPr>
          <w:trHeight w:val="200"/>
        </w:trPr>
        <w:tc>
          <w:tcPr>
            <w:tcW w:w="6000" w:type="dxa"/>
            <w:tcBorders>
              <w:top w:val="single" w:sz="6" w:space="0" w:color="auto"/>
              <w:bottom w:val="single" w:sz="6" w:space="0" w:color="auto"/>
              <w:right w:val="single" w:sz="6" w:space="0" w:color="auto"/>
            </w:tcBorders>
          </w:tcPr>
          <w:p w14:paraId="6B41696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000" w:type="dxa"/>
            <w:tcBorders>
              <w:top w:val="single" w:sz="6" w:space="0" w:color="auto"/>
              <w:left w:val="single" w:sz="6" w:space="0" w:color="auto"/>
              <w:bottom w:val="single" w:sz="6" w:space="0" w:color="auto"/>
            </w:tcBorders>
          </w:tcPr>
          <w:p w14:paraId="47763D5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+380444903000</w:t>
            </w:r>
          </w:p>
        </w:tc>
      </w:tr>
      <w:tr w:rsidR="007469BF" w:rsidRPr="004229C1" w14:paraId="63B180B0" w14:textId="77777777">
        <w:trPr>
          <w:trHeight w:val="200"/>
        </w:trPr>
        <w:tc>
          <w:tcPr>
            <w:tcW w:w="6000" w:type="dxa"/>
            <w:tcBorders>
              <w:top w:val="single" w:sz="6" w:space="0" w:color="auto"/>
              <w:bottom w:val="single" w:sz="6" w:space="0" w:color="auto"/>
              <w:right w:val="single" w:sz="6" w:space="0" w:color="auto"/>
            </w:tcBorders>
          </w:tcPr>
          <w:p w14:paraId="50EF025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C3A4D3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69.20 -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сферi</w:t>
            </w:r>
            <w:proofErr w:type="spellEnd"/>
            <w:r w:rsidRPr="004229C1">
              <w:rPr>
                <w:rFonts w:ascii="Times New Roman" w:hAnsi="Times New Roman" w:cs="Times New Roman"/>
                <w:kern w:val="0"/>
                <w:sz w:val="22"/>
                <w:szCs w:val="22"/>
                <w:lang w:val="uk-UA"/>
              </w:rPr>
              <w:t xml:space="preserve"> бухгалтерського </w:t>
            </w:r>
            <w:proofErr w:type="spellStart"/>
            <w:r w:rsidRPr="004229C1">
              <w:rPr>
                <w:rFonts w:ascii="Times New Roman" w:hAnsi="Times New Roman" w:cs="Times New Roman"/>
                <w:kern w:val="0"/>
                <w:sz w:val="22"/>
                <w:szCs w:val="22"/>
                <w:lang w:val="uk-UA"/>
              </w:rPr>
              <w:t>облiку</w:t>
            </w:r>
            <w:proofErr w:type="spellEnd"/>
            <w:r w:rsidRPr="004229C1">
              <w:rPr>
                <w:rFonts w:ascii="Times New Roman" w:hAnsi="Times New Roman" w:cs="Times New Roman"/>
                <w:kern w:val="0"/>
                <w:sz w:val="22"/>
                <w:szCs w:val="22"/>
                <w:lang w:val="uk-UA"/>
              </w:rPr>
              <w:t xml:space="preserve"> й аудиту; консультування з питань оподаткування</w:t>
            </w:r>
          </w:p>
        </w:tc>
      </w:tr>
      <w:tr w:rsidR="007469BF" w:rsidRPr="004229C1" w14:paraId="0EEC5E6F" w14:textId="77777777">
        <w:trPr>
          <w:trHeight w:val="200"/>
        </w:trPr>
        <w:tc>
          <w:tcPr>
            <w:tcW w:w="6000" w:type="dxa"/>
            <w:tcBorders>
              <w:top w:val="single" w:sz="6" w:space="0" w:color="auto"/>
              <w:bottom w:val="single" w:sz="6" w:space="0" w:color="auto"/>
              <w:right w:val="single" w:sz="6" w:space="0" w:color="auto"/>
            </w:tcBorders>
          </w:tcPr>
          <w:p w14:paraId="2BA2B8E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000" w:type="dxa"/>
            <w:tcBorders>
              <w:top w:val="single" w:sz="6" w:space="0" w:color="auto"/>
              <w:left w:val="single" w:sz="6" w:space="0" w:color="auto"/>
              <w:bottom w:val="single" w:sz="6" w:space="0" w:color="auto"/>
            </w:tcBorders>
          </w:tcPr>
          <w:p w14:paraId="1C9B5A8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Аудиторськi</w:t>
            </w:r>
            <w:proofErr w:type="spellEnd"/>
            <w:r w:rsidRPr="004229C1">
              <w:rPr>
                <w:rFonts w:ascii="Times New Roman" w:hAnsi="Times New Roman" w:cs="Times New Roman"/>
                <w:kern w:val="0"/>
                <w:sz w:val="22"/>
                <w:szCs w:val="22"/>
                <w:lang w:val="uk-UA"/>
              </w:rPr>
              <w:t xml:space="preserve"> послуги</w:t>
            </w:r>
          </w:p>
        </w:tc>
      </w:tr>
    </w:tbl>
    <w:p w14:paraId="1CEF920E"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980"/>
        <w:gridCol w:w="3969"/>
      </w:tblGrid>
      <w:tr w:rsidR="00E71BDE" w:rsidRPr="004229C1" w14:paraId="37F3FF89"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4A57706A"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3969" w:type="dxa"/>
            <w:tcBorders>
              <w:top w:val="single" w:sz="6" w:space="0" w:color="auto"/>
              <w:left w:val="single" w:sz="6" w:space="0" w:color="auto"/>
              <w:bottom w:val="single" w:sz="6" w:space="0" w:color="auto"/>
              <w:right w:val="single" w:sz="6" w:space="0" w:color="auto"/>
            </w:tcBorders>
            <w:hideMark/>
          </w:tcPr>
          <w:p w14:paraId="1780817B"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ПАТ "</w:t>
            </w:r>
            <w:proofErr w:type="spellStart"/>
            <w:r w:rsidRPr="004229C1">
              <w:rPr>
                <w:rFonts w:ascii="Times New Roman" w:hAnsi="Times New Roman" w:cs="Times New Roman"/>
                <w:kern w:val="0"/>
                <w:sz w:val="22"/>
                <w:szCs w:val="22"/>
                <w:lang w:val="uk-UA"/>
              </w:rPr>
              <w:t>Нацiональний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депозитарiй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Ук</w:t>
            </w:r>
            <w:proofErr w:type="spellEnd"/>
            <w:r w:rsidRPr="004229C1">
              <w:rPr>
                <w:rFonts w:ascii="Times New Roman" w:hAnsi="Times New Roman" w:cs="Times New Roman"/>
                <w:kern w:val="0"/>
                <w:sz w:val="22"/>
                <w:szCs w:val="22"/>
                <w:lang w:val="uk-UA"/>
              </w:rPr>
              <w:t>-раїни"</w:t>
            </w:r>
          </w:p>
        </w:tc>
      </w:tr>
      <w:tr w:rsidR="00E71BDE" w:rsidRPr="004229C1" w14:paraId="5891D06A"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269EF8EC"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3969" w:type="dxa"/>
            <w:tcBorders>
              <w:top w:val="single" w:sz="6" w:space="0" w:color="auto"/>
              <w:left w:val="single" w:sz="6" w:space="0" w:color="auto"/>
              <w:bottom w:val="single" w:sz="6" w:space="0" w:color="auto"/>
              <w:right w:val="single" w:sz="6" w:space="0" w:color="auto"/>
            </w:tcBorders>
          </w:tcPr>
          <w:p w14:paraId="3BC03A85"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E71BDE" w:rsidRPr="004229C1" w14:paraId="05AD041A"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6CF55303"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3969" w:type="dxa"/>
            <w:tcBorders>
              <w:top w:val="single" w:sz="6" w:space="0" w:color="auto"/>
              <w:left w:val="single" w:sz="6" w:space="0" w:color="auto"/>
              <w:bottom w:val="single" w:sz="6" w:space="0" w:color="auto"/>
              <w:right w:val="single" w:sz="6" w:space="0" w:color="auto"/>
            </w:tcBorders>
          </w:tcPr>
          <w:p w14:paraId="1A7E987F"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E71BDE" w:rsidRPr="004229C1" w14:paraId="0CDC9247"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59830341"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3969" w:type="dxa"/>
            <w:tcBorders>
              <w:top w:val="single" w:sz="6" w:space="0" w:color="auto"/>
              <w:left w:val="single" w:sz="6" w:space="0" w:color="auto"/>
              <w:bottom w:val="single" w:sz="6" w:space="0" w:color="auto"/>
              <w:right w:val="single" w:sz="6" w:space="0" w:color="auto"/>
            </w:tcBorders>
            <w:hideMark/>
          </w:tcPr>
          <w:p w14:paraId="1220BC18"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Акціонерне товариство</w:t>
            </w:r>
          </w:p>
        </w:tc>
      </w:tr>
      <w:tr w:rsidR="00E71BDE" w:rsidRPr="004229C1" w14:paraId="320C848F"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04E4720E"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3969" w:type="dxa"/>
            <w:tcBorders>
              <w:top w:val="single" w:sz="6" w:space="0" w:color="auto"/>
              <w:left w:val="single" w:sz="6" w:space="0" w:color="auto"/>
              <w:bottom w:val="single" w:sz="6" w:space="0" w:color="auto"/>
              <w:right w:val="single" w:sz="6" w:space="0" w:color="auto"/>
            </w:tcBorders>
            <w:hideMark/>
          </w:tcPr>
          <w:p w14:paraId="4AF848C5"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30370711</w:t>
            </w:r>
          </w:p>
        </w:tc>
      </w:tr>
      <w:tr w:rsidR="00E71BDE" w:rsidRPr="004229C1" w14:paraId="179938EE"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2546375F"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3969" w:type="dxa"/>
            <w:tcBorders>
              <w:top w:val="single" w:sz="6" w:space="0" w:color="auto"/>
              <w:left w:val="single" w:sz="6" w:space="0" w:color="auto"/>
              <w:bottom w:val="single" w:sz="6" w:space="0" w:color="auto"/>
              <w:right w:val="single" w:sz="6" w:space="0" w:color="auto"/>
            </w:tcBorders>
            <w:hideMark/>
          </w:tcPr>
          <w:p w14:paraId="11C6EDB0"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04107, Україна, Київ, вул. </w:t>
            </w:r>
            <w:proofErr w:type="spellStart"/>
            <w:r w:rsidRPr="004229C1">
              <w:rPr>
                <w:rFonts w:ascii="Times New Roman" w:hAnsi="Times New Roman" w:cs="Times New Roman"/>
                <w:kern w:val="0"/>
                <w:sz w:val="22"/>
                <w:szCs w:val="22"/>
                <w:lang w:val="uk-UA"/>
              </w:rPr>
              <w:t>Тропiнiна</w:t>
            </w:r>
            <w:proofErr w:type="spellEnd"/>
            <w:r w:rsidRPr="004229C1">
              <w:rPr>
                <w:rFonts w:ascii="Times New Roman" w:hAnsi="Times New Roman" w:cs="Times New Roman"/>
                <w:kern w:val="0"/>
                <w:sz w:val="22"/>
                <w:szCs w:val="22"/>
                <w:lang w:val="uk-UA"/>
              </w:rPr>
              <w:t xml:space="preserve"> 7-Г</w:t>
            </w:r>
          </w:p>
        </w:tc>
      </w:tr>
      <w:tr w:rsidR="00E71BDE" w:rsidRPr="004229C1" w14:paraId="31043B89"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6C29BA94"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3969" w:type="dxa"/>
            <w:tcBorders>
              <w:top w:val="single" w:sz="6" w:space="0" w:color="auto"/>
              <w:left w:val="single" w:sz="6" w:space="0" w:color="auto"/>
              <w:bottom w:val="single" w:sz="6" w:space="0" w:color="auto"/>
              <w:right w:val="single" w:sz="6" w:space="0" w:color="auto"/>
            </w:tcBorders>
            <w:hideMark/>
          </w:tcPr>
          <w:p w14:paraId="17E7C1D8"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2092</w:t>
            </w:r>
          </w:p>
        </w:tc>
      </w:tr>
      <w:tr w:rsidR="00E71BDE" w:rsidRPr="004229C1" w14:paraId="4379D864"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0A6CB5DD"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3969" w:type="dxa"/>
            <w:tcBorders>
              <w:top w:val="single" w:sz="6" w:space="0" w:color="auto"/>
              <w:left w:val="single" w:sz="6" w:space="0" w:color="auto"/>
              <w:bottom w:val="single" w:sz="6" w:space="0" w:color="auto"/>
              <w:right w:val="single" w:sz="6" w:space="0" w:color="auto"/>
            </w:tcBorders>
            <w:hideMark/>
          </w:tcPr>
          <w:p w14:paraId="07899084"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НКЦПФР</w:t>
            </w:r>
          </w:p>
        </w:tc>
      </w:tr>
      <w:tr w:rsidR="00E71BDE" w:rsidRPr="004229C1" w14:paraId="5CB857D3"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346F5643"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3969" w:type="dxa"/>
            <w:tcBorders>
              <w:top w:val="single" w:sz="6" w:space="0" w:color="auto"/>
              <w:left w:val="single" w:sz="6" w:space="0" w:color="auto"/>
              <w:bottom w:val="single" w:sz="6" w:space="0" w:color="auto"/>
              <w:right w:val="single" w:sz="6" w:space="0" w:color="auto"/>
            </w:tcBorders>
            <w:hideMark/>
          </w:tcPr>
          <w:p w14:paraId="2E4D0B54"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01.10.2013</w:t>
            </w:r>
          </w:p>
        </w:tc>
      </w:tr>
      <w:tr w:rsidR="00E71BDE" w:rsidRPr="004229C1" w14:paraId="3D2D20B6"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270E3057"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3969" w:type="dxa"/>
            <w:tcBorders>
              <w:top w:val="single" w:sz="6" w:space="0" w:color="auto"/>
              <w:left w:val="single" w:sz="6" w:space="0" w:color="auto"/>
              <w:bottom w:val="single" w:sz="6" w:space="0" w:color="auto"/>
              <w:right w:val="single" w:sz="6" w:space="0" w:color="auto"/>
            </w:tcBorders>
            <w:hideMark/>
          </w:tcPr>
          <w:p w14:paraId="666148A7"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(044)279-12-78</w:t>
            </w:r>
          </w:p>
        </w:tc>
      </w:tr>
      <w:tr w:rsidR="00E71BDE" w:rsidRPr="004229C1" w14:paraId="7B2327A1"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074CAB21"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3969" w:type="dxa"/>
            <w:tcBorders>
              <w:top w:val="single" w:sz="6" w:space="0" w:color="auto"/>
              <w:left w:val="single" w:sz="6" w:space="0" w:color="auto"/>
              <w:bottom w:val="single" w:sz="6" w:space="0" w:color="auto"/>
              <w:right w:val="single" w:sz="6" w:space="0" w:color="auto"/>
            </w:tcBorders>
            <w:hideMark/>
          </w:tcPr>
          <w:p w14:paraId="234DCFA1"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N63.11 - Оброблення даних, </w:t>
            </w:r>
            <w:proofErr w:type="spellStart"/>
            <w:r w:rsidRPr="004229C1">
              <w:rPr>
                <w:rFonts w:ascii="Times New Roman" w:hAnsi="Times New Roman" w:cs="Times New Roman"/>
                <w:kern w:val="0"/>
                <w:sz w:val="22"/>
                <w:szCs w:val="22"/>
                <w:lang w:val="uk-UA"/>
              </w:rPr>
              <w:t>розмiщення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iнформацiї</w:t>
            </w:r>
            <w:proofErr w:type="spellEnd"/>
            <w:r w:rsidRPr="004229C1">
              <w:rPr>
                <w:rFonts w:ascii="Times New Roman" w:hAnsi="Times New Roman" w:cs="Times New Roman"/>
                <w:kern w:val="0"/>
                <w:sz w:val="22"/>
                <w:szCs w:val="22"/>
                <w:lang w:val="uk-UA"/>
              </w:rPr>
              <w:t xml:space="preserve"> на веб-вузлах i пов'язана з ними </w:t>
            </w:r>
            <w:proofErr w:type="spellStart"/>
            <w:r w:rsidRPr="004229C1">
              <w:rPr>
                <w:rFonts w:ascii="Times New Roman" w:hAnsi="Times New Roman" w:cs="Times New Roman"/>
                <w:kern w:val="0"/>
                <w:sz w:val="22"/>
                <w:szCs w:val="22"/>
                <w:lang w:val="uk-UA"/>
              </w:rPr>
              <w:t>дiяльнiсть</w:t>
            </w:r>
            <w:proofErr w:type="spellEnd"/>
          </w:p>
        </w:tc>
      </w:tr>
      <w:tr w:rsidR="00E71BDE" w:rsidRPr="004229C1" w14:paraId="0AE0AE93" w14:textId="77777777" w:rsidTr="004A3B2B">
        <w:trPr>
          <w:trHeight w:val="200"/>
        </w:trPr>
        <w:tc>
          <w:tcPr>
            <w:tcW w:w="5980" w:type="dxa"/>
            <w:tcBorders>
              <w:top w:val="single" w:sz="6" w:space="0" w:color="auto"/>
              <w:left w:val="single" w:sz="6" w:space="0" w:color="auto"/>
              <w:bottom w:val="single" w:sz="6" w:space="0" w:color="auto"/>
              <w:right w:val="single" w:sz="6" w:space="0" w:color="auto"/>
            </w:tcBorders>
            <w:hideMark/>
          </w:tcPr>
          <w:p w14:paraId="0EB44B05" w14:textId="77777777" w:rsidR="00E71BDE" w:rsidRPr="004229C1" w:rsidRDefault="00E71BDE" w:rsidP="00E71BD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3969" w:type="dxa"/>
            <w:tcBorders>
              <w:top w:val="single" w:sz="6" w:space="0" w:color="auto"/>
              <w:left w:val="single" w:sz="6" w:space="0" w:color="auto"/>
              <w:bottom w:val="single" w:sz="6" w:space="0" w:color="auto"/>
              <w:right w:val="single" w:sz="6" w:space="0" w:color="auto"/>
            </w:tcBorders>
            <w:hideMark/>
          </w:tcPr>
          <w:p w14:paraId="35AEB84A" w14:textId="77777777" w:rsidR="00E71BDE" w:rsidRPr="004229C1" w:rsidRDefault="00E71BDE"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надає послуги, як </w:t>
            </w:r>
            <w:proofErr w:type="spellStart"/>
            <w:r w:rsidRPr="004229C1">
              <w:rPr>
                <w:rFonts w:ascii="Times New Roman" w:hAnsi="Times New Roman" w:cs="Times New Roman"/>
                <w:kern w:val="0"/>
                <w:sz w:val="22"/>
                <w:szCs w:val="22"/>
                <w:lang w:val="uk-UA"/>
              </w:rPr>
              <w:t>депозитарiй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p>
        </w:tc>
      </w:tr>
    </w:tbl>
    <w:p w14:paraId="38E262FD" w14:textId="77777777" w:rsidR="00E71BDE" w:rsidRPr="004229C1" w:rsidRDefault="00E71BDE">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3969"/>
      </w:tblGrid>
      <w:tr w:rsidR="00AB2EE3" w:rsidRPr="004229C1" w14:paraId="6E6AFA6C"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03F36A1"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3969" w:type="dxa"/>
            <w:tcBorders>
              <w:top w:val="single" w:sz="6" w:space="0" w:color="000000"/>
              <w:left w:val="single" w:sz="6" w:space="0" w:color="000000"/>
              <w:bottom w:val="single" w:sz="6" w:space="0" w:color="000000"/>
              <w:right w:val="single" w:sz="6" w:space="0" w:color="000000"/>
            </w:tcBorders>
            <w:hideMark/>
          </w:tcPr>
          <w:p w14:paraId="241FAE3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Агентство з розвитку </w:t>
            </w:r>
            <w:proofErr w:type="spellStart"/>
            <w:r w:rsidRPr="004229C1">
              <w:rPr>
                <w:rFonts w:ascii="Times New Roman" w:hAnsi="Times New Roman" w:cs="Times New Roman"/>
                <w:kern w:val="0"/>
                <w:sz w:val="22"/>
                <w:szCs w:val="22"/>
                <w:lang w:val="uk-UA"/>
              </w:rPr>
              <w:t>iнфраструктури</w:t>
            </w:r>
            <w:proofErr w:type="spellEnd"/>
            <w:r w:rsidRPr="004229C1">
              <w:rPr>
                <w:rFonts w:ascii="Times New Roman" w:hAnsi="Times New Roman" w:cs="Times New Roman"/>
                <w:kern w:val="0"/>
                <w:sz w:val="22"/>
                <w:szCs w:val="22"/>
                <w:lang w:val="uk-UA"/>
              </w:rPr>
              <w:t xml:space="preserve"> фондового ринку України</w:t>
            </w:r>
          </w:p>
        </w:tc>
      </w:tr>
      <w:tr w:rsidR="00AB2EE3" w:rsidRPr="004229C1" w14:paraId="7861FEE4"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915F2E7"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3969" w:type="dxa"/>
            <w:tcBorders>
              <w:top w:val="single" w:sz="6" w:space="0" w:color="000000"/>
              <w:left w:val="single" w:sz="6" w:space="0" w:color="000000"/>
              <w:bottom w:val="single" w:sz="6" w:space="0" w:color="000000"/>
              <w:right w:val="single" w:sz="6" w:space="0" w:color="000000"/>
            </w:tcBorders>
          </w:tcPr>
          <w:p w14:paraId="7A14508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530E8D15"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627C6557"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3969" w:type="dxa"/>
            <w:tcBorders>
              <w:top w:val="single" w:sz="6" w:space="0" w:color="000000"/>
              <w:left w:val="single" w:sz="6" w:space="0" w:color="000000"/>
              <w:bottom w:val="single" w:sz="6" w:space="0" w:color="000000"/>
              <w:right w:val="single" w:sz="6" w:space="0" w:color="000000"/>
            </w:tcBorders>
          </w:tcPr>
          <w:p w14:paraId="5948A5D4"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31528B60"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70473B03"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3969" w:type="dxa"/>
            <w:tcBorders>
              <w:top w:val="single" w:sz="6" w:space="0" w:color="000000"/>
              <w:left w:val="single" w:sz="6" w:space="0" w:color="000000"/>
              <w:bottom w:val="single" w:sz="6" w:space="0" w:color="000000"/>
              <w:right w:val="single" w:sz="6" w:space="0" w:color="000000"/>
            </w:tcBorders>
            <w:hideMark/>
          </w:tcPr>
          <w:p w14:paraId="77AFE0DE"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Державне підприємство</w:t>
            </w:r>
          </w:p>
        </w:tc>
      </w:tr>
      <w:tr w:rsidR="00AB2EE3" w:rsidRPr="004229C1" w14:paraId="022EA8D0" w14:textId="77777777" w:rsidTr="004A3B2B">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46B9BCEA"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3969" w:type="dxa"/>
            <w:tcBorders>
              <w:top w:val="single" w:sz="6" w:space="0" w:color="000000"/>
              <w:left w:val="single" w:sz="6" w:space="0" w:color="000000"/>
              <w:bottom w:val="single" w:sz="6" w:space="0" w:color="000000"/>
              <w:right w:val="single" w:sz="6" w:space="0" w:color="000000"/>
            </w:tcBorders>
            <w:hideMark/>
          </w:tcPr>
          <w:p w14:paraId="5E912B1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21676262</w:t>
            </w:r>
          </w:p>
        </w:tc>
      </w:tr>
      <w:tr w:rsidR="00AB2EE3" w:rsidRPr="004229C1" w14:paraId="50EF66EE"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30EE16B"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3969" w:type="dxa"/>
            <w:tcBorders>
              <w:top w:val="single" w:sz="6" w:space="0" w:color="000000"/>
              <w:left w:val="single" w:sz="6" w:space="0" w:color="000000"/>
              <w:bottom w:val="single" w:sz="6" w:space="0" w:color="000000"/>
              <w:right w:val="single" w:sz="6" w:space="0" w:color="000000"/>
            </w:tcBorders>
            <w:hideMark/>
          </w:tcPr>
          <w:p w14:paraId="7CEAA601"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03150, Україна, Київська обл., - р-н, Київ, Антоновича буд. 51 </w:t>
            </w:r>
            <w:proofErr w:type="spellStart"/>
            <w:r w:rsidRPr="004229C1">
              <w:rPr>
                <w:rFonts w:ascii="Times New Roman" w:hAnsi="Times New Roman" w:cs="Times New Roman"/>
                <w:kern w:val="0"/>
                <w:sz w:val="22"/>
                <w:szCs w:val="22"/>
                <w:lang w:val="uk-UA"/>
              </w:rPr>
              <w:t>офiс</w:t>
            </w:r>
            <w:proofErr w:type="spellEnd"/>
            <w:r w:rsidRPr="004229C1">
              <w:rPr>
                <w:rFonts w:ascii="Times New Roman" w:hAnsi="Times New Roman" w:cs="Times New Roman"/>
                <w:kern w:val="0"/>
                <w:sz w:val="22"/>
                <w:szCs w:val="22"/>
                <w:lang w:val="uk-UA"/>
              </w:rPr>
              <w:t xml:space="preserve"> 1206</w:t>
            </w:r>
          </w:p>
        </w:tc>
      </w:tr>
      <w:tr w:rsidR="00AB2EE3" w:rsidRPr="004229C1" w14:paraId="73742F6B"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0B4C87F7"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3969" w:type="dxa"/>
            <w:tcBorders>
              <w:top w:val="single" w:sz="6" w:space="0" w:color="000000"/>
              <w:left w:val="single" w:sz="6" w:space="0" w:color="000000"/>
              <w:bottom w:val="single" w:sz="6" w:space="0" w:color="000000"/>
              <w:right w:val="single" w:sz="6" w:space="0" w:color="000000"/>
            </w:tcBorders>
            <w:hideMark/>
          </w:tcPr>
          <w:p w14:paraId="1208B77F"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DR/0001/APA</w:t>
            </w:r>
          </w:p>
        </w:tc>
      </w:tr>
      <w:tr w:rsidR="00AB2EE3" w:rsidRPr="004229C1" w14:paraId="04EBA0F2"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B4C031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3969" w:type="dxa"/>
            <w:tcBorders>
              <w:top w:val="single" w:sz="6" w:space="0" w:color="000000"/>
              <w:left w:val="single" w:sz="6" w:space="0" w:color="000000"/>
              <w:bottom w:val="single" w:sz="6" w:space="0" w:color="000000"/>
              <w:right w:val="single" w:sz="6" w:space="0" w:color="000000"/>
            </w:tcBorders>
            <w:hideMark/>
          </w:tcPr>
          <w:p w14:paraId="3E20A1CA"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r>
      <w:tr w:rsidR="00AB2EE3" w:rsidRPr="004229C1" w14:paraId="3F968D7D"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5E8A203B"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3969" w:type="dxa"/>
            <w:tcBorders>
              <w:top w:val="single" w:sz="6" w:space="0" w:color="000000"/>
              <w:left w:val="single" w:sz="6" w:space="0" w:color="000000"/>
              <w:bottom w:val="single" w:sz="6" w:space="0" w:color="000000"/>
              <w:right w:val="single" w:sz="6" w:space="0" w:color="000000"/>
            </w:tcBorders>
            <w:hideMark/>
          </w:tcPr>
          <w:p w14:paraId="740359BD"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18.02.2019</w:t>
            </w:r>
          </w:p>
        </w:tc>
      </w:tr>
      <w:tr w:rsidR="00AB2EE3" w:rsidRPr="004229C1" w14:paraId="63C24D6E"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0DBEC88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3969" w:type="dxa"/>
            <w:tcBorders>
              <w:top w:val="single" w:sz="6" w:space="0" w:color="000000"/>
              <w:left w:val="single" w:sz="6" w:space="0" w:color="000000"/>
              <w:bottom w:val="single" w:sz="6" w:space="0" w:color="000000"/>
              <w:right w:val="single" w:sz="6" w:space="0" w:color="000000"/>
            </w:tcBorders>
            <w:hideMark/>
          </w:tcPr>
          <w:p w14:paraId="6B20C8C0"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498-38-15</w:t>
            </w:r>
          </w:p>
        </w:tc>
      </w:tr>
      <w:tr w:rsidR="00AB2EE3" w:rsidRPr="004229C1" w14:paraId="515315F3" w14:textId="77777777" w:rsidTr="004A3B2B">
        <w:trPr>
          <w:trHeight w:val="2023"/>
        </w:trPr>
        <w:tc>
          <w:tcPr>
            <w:tcW w:w="5866" w:type="dxa"/>
            <w:tcBorders>
              <w:top w:val="single" w:sz="6" w:space="0" w:color="000000"/>
              <w:left w:val="single" w:sz="6" w:space="0" w:color="000000"/>
              <w:bottom w:val="single" w:sz="6" w:space="0" w:color="000000"/>
              <w:right w:val="single" w:sz="6" w:space="0" w:color="000000"/>
            </w:tcBorders>
            <w:hideMark/>
          </w:tcPr>
          <w:p w14:paraId="30217384"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3969" w:type="dxa"/>
            <w:tcBorders>
              <w:top w:val="single" w:sz="6" w:space="0" w:color="000000"/>
              <w:left w:val="single" w:sz="6" w:space="0" w:color="000000"/>
              <w:bottom w:val="single" w:sz="6" w:space="0" w:color="000000"/>
              <w:right w:val="single" w:sz="6" w:space="0" w:color="000000"/>
            </w:tcBorders>
            <w:hideMark/>
          </w:tcPr>
          <w:p w14:paraId="0E5960C7"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63.11 - Оброблення даних, </w:t>
            </w:r>
            <w:proofErr w:type="spellStart"/>
            <w:r w:rsidRPr="004229C1">
              <w:rPr>
                <w:rFonts w:ascii="Times New Roman" w:hAnsi="Times New Roman" w:cs="Times New Roman"/>
                <w:kern w:val="0"/>
                <w:sz w:val="22"/>
                <w:szCs w:val="22"/>
                <w:lang w:val="uk-UA"/>
              </w:rPr>
              <w:t>розмiщення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iнформацiї</w:t>
            </w:r>
            <w:proofErr w:type="spellEnd"/>
            <w:r w:rsidRPr="004229C1">
              <w:rPr>
                <w:rFonts w:ascii="Times New Roman" w:hAnsi="Times New Roman" w:cs="Times New Roman"/>
                <w:kern w:val="0"/>
                <w:sz w:val="22"/>
                <w:szCs w:val="22"/>
                <w:lang w:val="uk-UA"/>
              </w:rPr>
              <w:t xml:space="preserve"> на веб-вузлах i пов'язана з</w:t>
            </w:r>
          </w:p>
          <w:p w14:paraId="15E27342"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ними </w:t>
            </w:r>
            <w:proofErr w:type="spellStart"/>
            <w:r w:rsidRPr="004229C1">
              <w:rPr>
                <w:rFonts w:ascii="Times New Roman" w:hAnsi="Times New Roman" w:cs="Times New Roman"/>
                <w:kern w:val="0"/>
                <w:sz w:val="22"/>
                <w:szCs w:val="22"/>
                <w:lang w:val="uk-UA"/>
              </w:rPr>
              <w:t>дiяльнiсть</w:t>
            </w:r>
            <w:proofErr w:type="spellEnd"/>
          </w:p>
          <w:p w14:paraId="2B6C70F6"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84.13 - Регулювання та сприяння ефективному веденню </w:t>
            </w:r>
            <w:proofErr w:type="spellStart"/>
            <w:r w:rsidRPr="004229C1">
              <w:rPr>
                <w:rFonts w:ascii="Times New Roman" w:hAnsi="Times New Roman" w:cs="Times New Roman"/>
                <w:kern w:val="0"/>
                <w:sz w:val="22"/>
                <w:szCs w:val="22"/>
                <w:lang w:val="uk-UA"/>
              </w:rPr>
              <w:t>економiчної</w:t>
            </w:r>
            <w:proofErr w:type="spellEnd"/>
          </w:p>
          <w:p w14:paraId="7A3659DE"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дiяльностi</w:t>
            </w:r>
            <w:proofErr w:type="spellEnd"/>
          </w:p>
          <w:p w14:paraId="122284F3"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62.02 - Консультування з питань </w:t>
            </w:r>
            <w:proofErr w:type="spellStart"/>
            <w:r w:rsidRPr="004229C1">
              <w:rPr>
                <w:rFonts w:ascii="Times New Roman" w:hAnsi="Times New Roman" w:cs="Times New Roman"/>
                <w:kern w:val="0"/>
                <w:sz w:val="22"/>
                <w:szCs w:val="22"/>
                <w:lang w:val="uk-UA"/>
              </w:rPr>
              <w:t>iнформатизацiї</w:t>
            </w:r>
            <w:proofErr w:type="spellEnd"/>
          </w:p>
        </w:tc>
      </w:tr>
      <w:tr w:rsidR="00AB2EE3" w:rsidRPr="004229C1" w14:paraId="151C70CD" w14:textId="77777777" w:rsidTr="004A3B2B">
        <w:trPr>
          <w:trHeight w:val="502"/>
        </w:trPr>
        <w:tc>
          <w:tcPr>
            <w:tcW w:w="5866" w:type="dxa"/>
            <w:tcBorders>
              <w:top w:val="single" w:sz="6" w:space="0" w:color="000000"/>
              <w:left w:val="single" w:sz="6" w:space="0" w:color="000000"/>
              <w:bottom w:val="single" w:sz="6" w:space="0" w:color="000000"/>
              <w:right w:val="single" w:sz="6" w:space="0" w:color="000000"/>
            </w:tcBorders>
            <w:hideMark/>
          </w:tcPr>
          <w:p w14:paraId="7B7DE38A"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3969" w:type="dxa"/>
            <w:tcBorders>
              <w:top w:val="single" w:sz="6" w:space="0" w:color="000000"/>
              <w:left w:val="single" w:sz="6" w:space="0" w:color="000000"/>
              <w:bottom w:val="single" w:sz="6" w:space="0" w:color="000000"/>
              <w:right w:val="single" w:sz="6" w:space="0" w:color="000000"/>
            </w:tcBorders>
            <w:hideMark/>
          </w:tcPr>
          <w:p w14:paraId="278F244A"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Провайдер </w:t>
            </w:r>
            <w:proofErr w:type="spellStart"/>
            <w:r w:rsidRPr="004229C1">
              <w:rPr>
                <w:rFonts w:ascii="Times New Roman" w:hAnsi="Times New Roman" w:cs="Times New Roman"/>
                <w:kern w:val="0"/>
                <w:sz w:val="22"/>
                <w:szCs w:val="22"/>
                <w:lang w:val="uk-UA"/>
              </w:rPr>
              <w:t>iнформацiйних</w:t>
            </w:r>
            <w:proofErr w:type="spellEnd"/>
            <w:r w:rsidRPr="004229C1">
              <w:rPr>
                <w:rFonts w:ascii="Times New Roman" w:hAnsi="Times New Roman" w:cs="Times New Roman"/>
                <w:kern w:val="0"/>
                <w:sz w:val="22"/>
                <w:szCs w:val="22"/>
                <w:lang w:val="uk-UA"/>
              </w:rPr>
              <w:t xml:space="preserve"> послуг на</w:t>
            </w:r>
          </w:p>
          <w:p w14:paraId="396FE7CD"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фондовому ринку</w:t>
            </w:r>
          </w:p>
        </w:tc>
      </w:tr>
    </w:tbl>
    <w:p w14:paraId="27ECCAD7" w14:textId="77777777" w:rsidR="00AB2EE3" w:rsidRPr="004229C1" w:rsidRDefault="00AB2EE3">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3969"/>
      </w:tblGrid>
      <w:tr w:rsidR="00AB2EE3" w:rsidRPr="004229C1" w14:paraId="472ED712"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2DECD13"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3969" w:type="dxa"/>
            <w:tcBorders>
              <w:top w:val="single" w:sz="6" w:space="0" w:color="000000"/>
              <w:left w:val="single" w:sz="6" w:space="0" w:color="000000"/>
              <w:bottom w:val="single" w:sz="6" w:space="0" w:color="000000"/>
              <w:right w:val="single" w:sz="6" w:space="0" w:color="000000"/>
            </w:tcBorders>
            <w:hideMark/>
          </w:tcPr>
          <w:p w14:paraId="486E3688"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асоцiацiя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учасникiв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ринкiв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капiталу</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деривативiв</w:t>
            </w:r>
            <w:proofErr w:type="spellEnd"/>
          </w:p>
        </w:tc>
      </w:tr>
      <w:tr w:rsidR="00AB2EE3" w:rsidRPr="004229C1" w14:paraId="77189BF3" w14:textId="77777777" w:rsidTr="004A3B2B">
        <w:trPr>
          <w:trHeight w:val="252"/>
        </w:trPr>
        <w:tc>
          <w:tcPr>
            <w:tcW w:w="5866" w:type="dxa"/>
            <w:tcBorders>
              <w:top w:val="single" w:sz="6" w:space="0" w:color="000000"/>
              <w:left w:val="single" w:sz="6" w:space="0" w:color="000000"/>
              <w:bottom w:val="single" w:sz="6" w:space="0" w:color="000000"/>
              <w:right w:val="single" w:sz="6" w:space="0" w:color="000000"/>
            </w:tcBorders>
            <w:hideMark/>
          </w:tcPr>
          <w:p w14:paraId="6AFDBB4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3969" w:type="dxa"/>
            <w:tcBorders>
              <w:top w:val="single" w:sz="6" w:space="0" w:color="000000"/>
              <w:left w:val="single" w:sz="6" w:space="0" w:color="000000"/>
              <w:bottom w:val="single" w:sz="6" w:space="0" w:color="000000"/>
              <w:right w:val="single" w:sz="6" w:space="0" w:color="000000"/>
            </w:tcBorders>
          </w:tcPr>
          <w:p w14:paraId="2307A383"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50506AA9"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06239E6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3969" w:type="dxa"/>
            <w:tcBorders>
              <w:top w:val="single" w:sz="6" w:space="0" w:color="000000"/>
              <w:left w:val="single" w:sz="6" w:space="0" w:color="000000"/>
              <w:bottom w:val="single" w:sz="6" w:space="0" w:color="000000"/>
              <w:right w:val="single" w:sz="6" w:space="0" w:color="000000"/>
            </w:tcBorders>
          </w:tcPr>
          <w:p w14:paraId="1F81C432"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0A4C5564"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818AD96"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3969" w:type="dxa"/>
            <w:tcBorders>
              <w:top w:val="single" w:sz="6" w:space="0" w:color="000000"/>
              <w:left w:val="single" w:sz="6" w:space="0" w:color="000000"/>
              <w:bottom w:val="single" w:sz="6" w:space="0" w:color="000000"/>
              <w:right w:val="single" w:sz="6" w:space="0" w:color="000000"/>
            </w:tcBorders>
            <w:hideMark/>
          </w:tcPr>
          <w:p w14:paraId="25C82551"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Асоціація</w:t>
            </w:r>
          </w:p>
        </w:tc>
      </w:tr>
      <w:tr w:rsidR="00AB2EE3" w:rsidRPr="004229C1" w14:paraId="0AE47F9D"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D74A350"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3969" w:type="dxa"/>
            <w:tcBorders>
              <w:top w:val="single" w:sz="6" w:space="0" w:color="000000"/>
              <w:left w:val="single" w:sz="6" w:space="0" w:color="000000"/>
              <w:bottom w:val="single" w:sz="6" w:space="0" w:color="000000"/>
              <w:right w:val="single" w:sz="6" w:space="0" w:color="000000"/>
            </w:tcBorders>
            <w:hideMark/>
          </w:tcPr>
          <w:p w14:paraId="6EAA0090"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24382704</w:t>
            </w:r>
          </w:p>
        </w:tc>
      </w:tr>
      <w:tr w:rsidR="00AB2EE3" w:rsidRPr="004229C1" w14:paraId="214BD9C2"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B0061B4"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3969" w:type="dxa"/>
            <w:tcBorders>
              <w:top w:val="single" w:sz="6" w:space="0" w:color="000000"/>
              <w:left w:val="single" w:sz="6" w:space="0" w:color="000000"/>
              <w:bottom w:val="single" w:sz="6" w:space="0" w:color="000000"/>
              <w:right w:val="single" w:sz="6" w:space="0" w:color="000000"/>
            </w:tcBorders>
            <w:hideMark/>
          </w:tcPr>
          <w:p w14:paraId="58B1350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02002, Україна, Київська обл., - р-н, Київ, Євгена Сверстюка, 19, </w:t>
            </w:r>
            <w:proofErr w:type="spellStart"/>
            <w:r w:rsidRPr="004229C1">
              <w:rPr>
                <w:rFonts w:ascii="Times New Roman" w:hAnsi="Times New Roman" w:cs="Times New Roman"/>
                <w:kern w:val="0"/>
                <w:sz w:val="22"/>
                <w:szCs w:val="22"/>
                <w:lang w:val="uk-UA"/>
              </w:rPr>
              <w:t>офiс</w:t>
            </w:r>
            <w:proofErr w:type="spellEnd"/>
            <w:r w:rsidRPr="004229C1">
              <w:rPr>
                <w:rFonts w:ascii="Times New Roman" w:hAnsi="Times New Roman" w:cs="Times New Roman"/>
                <w:kern w:val="0"/>
                <w:sz w:val="22"/>
                <w:szCs w:val="22"/>
                <w:lang w:val="uk-UA"/>
              </w:rPr>
              <w:t xml:space="preserve"> 415</w:t>
            </w:r>
          </w:p>
        </w:tc>
      </w:tr>
      <w:tr w:rsidR="00AB2EE3" w:rsidRPr="004229C1" w14:paraId="305FFE86"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75EDB241"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3969" w:type="dxa"/>
            <w:tcBorders>
              <w:top w:val="single" w:sz="6" w:space="0" w:color="000000"/>
              <w:left w:val="single" w:sz="6" w:space="0" w:color="000000"/>
              <w:bottom w:val="single" w:sz="6" w:space="0" w:color="000000"/>
              <w:right w:val="single" w:sz="6" w:space="0" w:color="000000"/>
            </w:tcBorders>
            <w:hideMark/>
          </w:tcPr>
          <w:p w14:paraId="3ADC4C18"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AB2EE3" w:rsidRPr="004229C1" w14:paraId="457F3113"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6DB4314B"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3969" w:type="dxa"/>
            <w:tcBorders>
              <w:top w:val="single" w:sz="6" w:space="0" w:color="000000"/>
              <w:left w:val="single" w:sz="6" w:space="0" w:color="000000"/>
              <w:bottom w:val="single" w:sz="6" w:space="0" w:color="000000"/>
              <w:right w:val="single" w:sz="6" w:space="0" w:color="000000"/>
            </w:tcBorders>
            <w:hideMark/>
          </w:tcPr>
          <w:p w14:paraId="34D4098D"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AB2EE3" w:rsidRPr="004229C1" w14:paraId="1547535D"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B8A915A"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3969" w:type="dxa"/>
            <w:tcBorders>
              <w:top w:val="single" w:sz="6" w:space="0" w:color="000000"/>
              <w:left w:val="single" w:sz="6" w:space="0" w:color="000000"/>
              <w:bottom w:val="single" w:sz="6" w:space="0" w:color="000000"/>
              <w:right w:val="single" w:sz="6" w:space="0" w:color="000000"/>
            </w:tcBorders>
          </w:tcPr>
          <w:p w14:paraId="4DF6EF4E"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39672B11"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6C55C9F5"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3969" w:type="dxa"/>
            <w:tcBorders>
              <w:top w:val="single" w:sz="6" w:space="0" w:color="000000"/>
              <w:left w:val="single" w:sz="6" w:space="0" w:color="000000"/>
              <w:bottom w:val="single" w:sz="6" w:space="0" w:color="000000"/>
              <w:right w:val="single" w:sz="6" w:space="0" w:color="000000"/>
            </w:tcBorders>
            <w:hideMark/>
          </w:tcPr>
          <w:p w14:paraId="3231BE88"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516-52-27</w:t>
            </w:r>
          </w:p>
        </w:tc>
      </w:tr>
      <w:tr w:rsidR="00AB2EE3" w:rsidRPr="004229C1" w14:paraId="77724405" w14:textId="77777777" w:rsidTr="00E35F0D">
        <w:trPr>
          <w:trHeight w:val="535"/>
        </w:trPr>
        <w:tc>
          <w:tcPr>
            <w:tcW w:w="5866" w:type="dxa"/>
            <w:tcBorders>
              <w:top w:val="single" w:sz="6" w:space="0" w:color="000000"/>
              <w:left w:val="single" w:sz="6" w:space="0" w:color="000000"/>
              <w:bottom w:val="single" w:sz="6" w:space="0" w:color="000000"/>
              <w:right w:val="single" w:sz="6" w:space="0" w:color="000000"/>
            </w:tcBorders>
            <w:hideMark/>
          </w:tcPr>
          <w:p w14:paraId="45EC05D7"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3969" w:type="dxa"/>
            <w:tcBorders>
              <w:top w:val="single" w:sz="6" w:space="0" w:color="000000"/>
              <w:left w:val="single" w:sz="6" w:space="0" w:color="000000"/>
              <w:bottom w:val="single" w:sz="6" w:space="0" w:color="000000"/>
              <w:right w:val="single" w:sz="6" w:space="0" w:color="000000"/>
            </w:tcBorders>
            <w:hideMark/>
          </w:tcPr>
          <w:p w14:paraId="0AA8DAB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94.11 -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органiзацiй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промисловцiв</w:t>
            </w:r>
            <w:proofErr w:type="spellEnd"/>
            <w:r w:rsidRPr="004229C1">
              <w:rPr>
                <w:rFonts w:ascii="Times New Roman" w:hAnsi="Times New Roman" w:cs="Times New Roman"/>
                <w:kern w:val="0"/>
                <w:sz w:val="22"/>
                <w:szCs w:val="22"/>
                <w:lang w:val="uk-UA"/>
              </w:rPr>
              <w:t xml:space="preserve"> i </w:t>
            </w:r>
            <w:proofErr w:type="spellStart"/>
            <w:r w:rsidRPr="004229C1">
              <w:rPr>
                <w:rFonts w:ascii="Times New Roman" w:hAnsi="Times New Roman" w:cs="Times New Roman"/>
                <w:kern w:val="0"/>
                <w:sz w:val="22"/>
                <w:szCs w:val="22"/>
                <w:lang w:val="uk-UA"/>
              </w:rPr>
              <w:t>пiдприємцiв</w:t>
            </w:r>
            <w:proofErr w:type="spellEnd"/>
          </w:p>
          <w:p w14:paraId="0E47E6E9" w14:textId="02DF893D"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4B8820D5"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5A869AD"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3969" w:type="dxa"/>
            <w:tcBorders>
              <w:top w:val="single" w:sz="6" w:space="0" w:color="000000"/>
              <w:left w:val="single" w:sz="6" w:space="0" w:color="000000"/>
              <w:bottom w:val="single" w:sz="6" w:space="0" w:color="000000"/>
              <w:right w:val="single" w:sz="6" w:space="0" w:color="000000"/>
            </w:tcBorders>
            <w:hideMark/>
          </w:tcPr>
          <w:p w14:paraId="58EB0769"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Послуги з депозитарної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торгiвлi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цiнними</w:t>
            </w:r>
            <w:proofErr w:type="spellEnd"/>
            <w:r w:rsidRPr="004229C1">
              <w:rPr>
                <w:rFonts w:ascii="Times New Roman" w:hAnsi="Times New Roman" w:cs="Times New Roman"/>
                <w:kern w:val="0"/>
                <w:sz w:val="22"/>
                <w:szCs w:val="22"/>
                <w:lang w:val="uk-UA"/>
              </w:rPr>
              <w:t xml:space="preserve"> паперами</w:t>
            </w:r>
          </w:p>
        </w:tc>
      </w:tr>
    </w:tbl>
    <w:p w14:paraId="4060757A"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b/>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3969"/>
      </w:tblGrid>
      <w:tr w:rsidR="00AB2EE3" w:rsidRPr="004229C1" w14:paraId="3FFAF1B2"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F87AAF4"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3969" w:type="dxa"/>
            <w:tcBorders>
              <w:top w:val="single" w:sz="6" w:space="0" w:color="000000"/>
              <w:left w:val="single" w:sz="6" w:space="0" w:color="000000"/>
              <w:bottom w:val="single" w:sz="6" w:space="0" w:color="000000"/>
              <w:right w:val="single" w:sz="6" w:space="0" w:color="000000"/>
            </w:tcBorders>
            <w:hideMark/>
          </w:tcPr>
          <w:p w14:paraId="22B6201E"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"ЕМКОН"</w:t>
            </w:r>
          </w:p>
        </w:tc>
      </w:tr>
      <w:tr w:rsidR="00AB2EE3" w:rsidRPr="004229C1" w14:paraId="52294C3B"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917087E"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3969" w:type="dxa"/>
            <w:tcBorders>
              <w:top w:val="single" w:sz="6" w:space="0" w:color="000000"/>
              <w:left w:val="single" w:sz="6" w:space="0" w:color="000000"/>
              <w:bottom w:val="single" w:sz="6" w:space="0" w:color="000000"/>
              <w:right w:val="single" w:sz="6" w:space="0" w:color="000000"/>
            </w:tcBorders>
          </w:tcPr>
          <w:p w14:paraId="23AD808C"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7A01542E"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55E5751"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3969" w:type="dxa"/>
            <w:tcBorders>
              <w:top w:val="single" w:sz="6" w:space="0" w:color="000000"/>
              <w:left w:val="single" w:sz="6" w:space="0" w:color="000000"/>
              <w:bottom w:val="single" w:sz="6" w:space="0" w:color="000000"/>
              <w:right w:val="single" w:sz="6" w:space="0" w:color="000000"/>
            </w:tcBorders>
          </w:tcPr>
          <w:p w14:paraId="5F4876C5"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p>
        </w:tc>
      </w:tr>
      <w:tr w:rsidR="00AB2EE3" w:rsidRPr="004229C1" w14:paraId="1798DC90"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7594A71"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3969" w:type="dxa"/>
            <w:tcBorders>
              <w:top w:val="single" w:sz="6" w:space="0" w:color="000000"/>
              <w:left w:val="single" w:sz="6" w:space="0" w:color="000000"/>
              <w:bottom w:val="single" w:sz="6" w:space="0" w:color="000000"/>
              <w:right w:val="single" w:sz="6" w:space="0" w:color="000000"/>
            </w:tcBorders>
            <w:hideMark/>
          </w:tcPr>
          <w:p w14:paraId="1789AC04"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AB2EE3" w:rsidRPr="004229C1" w14:paraId="4D672D5F"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E52423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3969" w:type="dxa"/>
            <w:tcBorders>
              <w:top w:val="single" w:sz="6" w:space="0" w:color="000000"/>
              <w:left w:val="single" w:sz="6" w:space="0" w:color="000000"/>
              <w:bottom w:val="single" w:sz="6" w:space="0" w:color="000000"/>
              <w:right w:val="single" w:sz="6" w:space="0" w:color="000000"/>
            </w:tcBorders>
            <w:hideMark/>
          </w:tcPr>
          <w:p w14:paraId="14C46519"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36557511</w:t>
            </w:r>
          </w:p>
        </w:tc>
      </w:tr>
      <w:tr w:rsidR="00AB2EE3" w:rsidRPr="004229C1" w14:paraId="568514C9" w14:textId="77777777" w:rsidTr="004A3B2B">
        <w:trPr>
          <w:trHeight w:val="760"/>
        </w:trPr>
        <w:tc>
          <w:tcPr>
            <w:tcW w:w="5866" w:type="dxa"/>
            <w:tcBorders>
              <w:top w:val="single" w:sz="6" w:space="0" w:color="000000"/>
              <w:left w:val="single" w:sz="6" w:space="0" w:color="000000"/>
              <w:bottom w:val="single" w:sz="6" w:space="0" w:color="000000"/>
              <w:right w:val="single" w:sz="6" w:space="0" w:color="000000"/>
            </w:tcBorders>
            <w:hideMark/>
          </w:tcPr>
          <w:p w14:paraId="0A4485AF"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3969" w:type="dxa"/>
            <w:tcBorders>
              <w:top w:val="single" w:sz="6" w:space="0" w:color="000000"/>
              <w:left w:val="single" w:sz="6" w:space="0" w:color="000000"/>
              <w:bottom w:val="single" w:sz="6" w:space="0" w:color="000000"/>
              <w:right w:val="single" w:sz="6" w:space="0" w:color="000000"/>
            </w:tcBorders>
            <w:hideMark/>
          </w:tcPr>
          <w:p w14:paraId="01C93AD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03113, Україна, Київська обл., - р-н,</w:t>
            </w:r>
          </w:p>
          <w:p w14:paraId="1FE2AFF5"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Київ, Василя Макуха, 5, 3-й поверх, </w:t>
            </w:r>
            <w:proofErr w:type="spellStart"/>
            <w:r w:rsidRPr="004229C1">
              <w:rPr>
                <w:rFonts w:ascii="Times New Roman" w:hAnsi="Times New Roman" w:cs="Times New Roman"/>
                <w:kern w:val="0"/>
                <w:sz w:val="22"/>
                <w:szCs w:val="22"/>
                <w:lang w:val="uk-UA"/>
              </w:rPr>
              <w:t>офiс</w:t>
            </w:r>
            <w:proofErr w:type="spellEnd"/>
            <w:r w:rsidRPr="004229C1">
              <w:rPr>
                <w:rFonts w:ascii="Times New Roman" w:hAnsi="Times New Roman" w:cs="Times New Roman"/>
                <w:kern w:val="0"/>
                <w:sz w:val="22"/>
                <w:szCs w:val="22"/>
                <w:lang w:val="uk-UA"/>
              </w:rPr>
              <w:t xml:space="preserve"> 303</w:t>
            </w:r>
          </w:p>
        </w:tc>
      </w:tr>
      <w:tr w:rsidR="00AB2EE3" w:rsidRPr="004229C1" w14:paraId="5D55B27F" w14:textId="77777777" w:rsidTr="004A3B2B">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4A7B3823"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3969" w:type="dxa"/>
            <w:tcBorders>
              <w:top w:val="single" w:sz="6" w:space="0" w:color="000000"/>
              <w:left w:val="single" w:sz="6" w:space="0" w:color="000000"/>
              <w:bottom w:val="single" w:sz="6" w:space="0" w:color="000000"/>
              <w:right w:val="single" w:sz="6" w:space="0" w:color="000000"/>
            </w:tcBorders>
            <w:hideMark/>
          </w:tcPr>
          <w:p w14:paraId="74257DBD"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AB2EE3" w:rsidRPr="004229C1" w14:paraId="170F395B" w14:textId="77777777" w:rsidTr="004A3B2B">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3BAD8F46"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3969" w:type="dxa"/>
            <w:tcBorders>
              <w:top w:val="single" w:sz="6" w:space="0" w:color="000000"/>
              <w:left w:val="single" w:sz="6" w:space="0" w:color="000000"/>
              <w:bottom w:val="single" w:sz="6" w:space="0" w:color="000000"/>
              <w:right w:val="single" w:sz="6" w:space="0" w:color="000000"/>
            </w:tcBorders>
            <w:hideMark/>
          </w:tcPr>
          <w:p w14:paraId="0C5E41CE"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AB2EE3" w:rsidRPr="004229C1" w14:paraId="1F51A356"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E181068"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3969" w:type="dxa"/>
            <w:tcBorders>
              <w:top w:val="single" w:sz="6" w:space="0" w:color="000000"/>
              <w:left w:val="single" w:sz="6" w:space="0" w:color="000000"/>
              <w:bottom w:val="single" w:sz="6" w:space="0" w:color="000000"/>
              <w:right w:val="single" w:sz="6" w:space="0" w:color="000000"/>
            </w:tcBorders>
          </w:tcPr>
          <w:p w14:paraId="3C3A3009"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AB2EE3" w:rsidRPr="004229C1" w14:paraId="042C3BC2" w14:textId="77777777" w:rsidTr="004A3B2B">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9F3DA75"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3969" w:type="dxa"/>
            <w:tcBorders>
              <w:top w:val="single" w:sz="6" w:space="0" w:color="000000"/>
              <w:left w:val="single" w:sz="6" w:space="0" w:color="000000"/>
              <w:bottom w:val="single" w:sz="6" w:space="0" w:color="000000"/>
              <w:right w:val="single" w:sz="6" w:space="0" w:color="000000"/>
            </w:tcBorders>
            <w:hideMark/>
          </w:tcPr>
          <w:p w14:paraId="3B108788"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456-90-04</w:t>
            </w:r>
          </w:p>
        </w:tc>
      </w:tr>
      <w:tr w:rsidR="00AB2EE3" w:rsidRPr="004229C1" w14:paraId="63D4AA6D" w14:textId="77777777" w:rsidTr="004A3B2B">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2FFD42AA"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3969" w:type="dxa"/>
            <w:tcBorders>
              <w:top w:val="single" w:sz="6" w:space="0" w:color="000000"/>
              <w:left w:val="single" w:sz="6" w:space="0" w:color="000000"/>
              <w:bottom w:val="single" w:sz="6" w:space="0" w:color="000000"/>
              <w:right w:val="single" w:sz="6" w:space="0" w:color="000000"/>
            </w:tcBorders>
            <w:hideMark/>
          </w:tcPr>
          <w:p w14:paraId="0827397A" w14:textId="3FAA49D7" w:rsidR="00AB2EE3" w:rsidRPr="004229C1" w:rsidRDefault="00AB2EE3" w:rsidP="00E35F0D">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70.22 - Консультування з питань </w:t>
            </w:r>
            <w:proofErr w:type="spellStart"/>
            <w:r w:rsidRPr="004229C1">
              <w:rPr>
                <w:rFonts w:ascii="Times New Roman" w:hAnsi="Times New Roman" w:cs="Times New Roman"/>
                <w:kern w:val="0"/>
                <w:sz w:val="22"/>
                <w:szCs w:val="22"/>
                <w:lang w:val="uk-UA"/>
              </w:rPr>
              <w:t>комерцiйної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й керування</w:t>
            </w:r>
          </w:p>
        </w:tc>
      </w:tr>
      <w:tr w:rsidR="00AB2EE3" w:rsidRPr="004229C1" w14:paraId="203336E2" w14:textId="77777777" w:rsidTr="004A3B2B">
        <w:trPr>
          <w:trHeight w:val="757"/>
        </w:trPr>
        <w:tc>
          <w:tcPr>
            <w:tcW w:w="5866" w:type="dxa"/>
            <w:tcBorders>
              <w:top w:val="single" w:sz="6" w:space="0" w:color="000000"/>
              <w:left w:val="single" w:sz="6" w:space="0" w:color="000000"/>
              <w:bottom w:val="single" w:sz="6" w:space="0" w:color="000000"/>
              <w:right w:val="single" w:sz="6" w:space="0" w:color="000000"/>
            </w:tcBorders>
            <w:hideMark/>
          </w:tcPr>
          <w:p w14:paraId="709AFEC5" w14:textId="77777777" w:rsidR="00AB2EE3" w:rsidRPr="004229C1" w:rsidRDefault="00AB2EE3" w:rsidP="00AB2EE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3969" w:type="dxa"/>
            <w:tcBorders>
              <w:top w:val="single" w:sz="6" w:space="0" w:color="000000"/>
              <w:left w:val="single" w:sz="6" w:space="0" w:color="000000"/>
              <w:bottom w:val="single" w:sz="6" w:space="0" w:color="000000"/>
              <w:right w:val="single" w:sz="6" w:space="0" w:color="000000"/>
            </w:tcBorders>
            <w:hideMark/>
          </w:tcPr>
          <w:p w14:paraId="052CD058"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Послуги з надання програмного забезпечення для </w:t>
            </w:r>
            <w:proofErr w:type="spellStart"/>
            <w:r w:rsidRPr="004229C1">
              <w:rPr>
                <w:rFonts w:ascii="Times New Roman" w:hAnsi="Times New Roman" w:cs="Times New Roman"/>
                <w:kern w:val="0"/>
                <w:sz w:val="22"/>
                <w:szCs w:val="22"/>
                <w:lang w:val="uk-UA"/>
              </w:rPr>
              <w:t>пiдготовки</w:t>
            </w:r>
            <w:proofErr w:type="spellEnd"/>
          </w:p>
          <w:p w14:paraId="23416E5A" w14:textId="77777777" w:rsidR="00AB2EE3" w:rsidRPr="004229C1" w:rsidRDefault="00AB2EE3" w:rsidP="004A3B2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регульованої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до НКЦПФР</w:t>
            </w:r>
          </w:p>
        </w:tc>
      </w:tr>
    </w:tbl>
    <w:p w14:paraId="4E93DC9D" w14:textId="77777777" w:rsidR="00AB2EE3" w:rsidRPr="004229C1" w:rsidRDefault="00AB2EE3">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0D43D3" w:rsidRPr="004229C1" w14:paraId="7D17BF21" w14:textId="77777777" w:rsidTr="003F24B3">
        <w:trPr>
          <w:trHeight w:val="506"/>
        </w:trPr>
        <w:tc>
          <w:tcPr>
            <w:tcW w:w="5866" w:type="dxa"/>
            <w:tcBorders>
              <w:top w:val="single" w:sz="6" w:space="0" w:color="000000"/>
              <w:left w:val="single" w:sz="6" w:space="0" w:color="000000"/>
              <w:bottom w:val="single" w:sz="6" w:space="0" w:color="000000"/>
              <w:right w:val="single" w:sz="6" w:space="0" w:color="000000"/>
            </w:tcBorders>
            <w:hideMark/>
          </w:tcPr>
          <w:p w14:paraId="47A00823"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61650FB0"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Акцiонерне</w:t>
            </w:r>
            <w:proofErr w:type="spellEnd"/>
            <w:r w:rsidRPr="004229C1">
              <w:rPr>
                <w:rFonts w:ascii="Times New Roman" w:hAnsi="Times New Roman" w:cs="Times New Roman"/>
                <w:kern w:val="0"/>
                <w:sz w:val="22"/>
                <w:szCs w:val="22"/>
                <w:lang w:val="uk-UA"/>
              </w:rPr>
              <w:t xml:space="preserve"> товариство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w:t>
            </w:r>
          </w:p>
        </w:tc>
      </w:tr>
      <w:tr w:rsidR="000D43D3" w:rsidRPr="004229C1" w14:paraId="2AAFB509"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30C6048"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5CD67768" w14:textId="7BA140DF" w:rsidR="000D43D3" w:rsidRPr="004229C1" w:rsidRDefault="00E35F0D"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D43D3" w:rsidRPr="004229C1" w14:paraId="486454E4"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1C0F575"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52956584" w14:textId="74429AE0" w:rsidR="000D43D3" w:rsidRPr="004229C1" w:rsidRDefault="00E35F0D"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D43D3" w:rsidRPr="004229C1" w14:paraId="3E7B373E"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4C1983CC"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09E20234"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Приватне акціонерне товариство</w:t>
            </w:r>
          </w:p>
        </w:tc>
      </w:tr>
      <w:tr w:rsidR="000D43D3" w:rsidRPr="004229C1" w14:paraId="7EA01264"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80321C3"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4B330051"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21672206</w:t>
            </w:r>
          </w:p>
        </w:tc>
      </w:tr>
      <w:tr w:rsidR="000D43D3" w:rsidRPr="004229C1" w14:paraId="5E46A71B" w14:textId="77777777" w:rsidTr="003F24B3">
        <w:trPr>
          <w:trHeight w:val="508"/>
        </w:trPr>
        <w:tc>
          <w:tcPr>
            <w:tcW w:w="5866" w:type="dxa"/>
            <w:tcBorders>
              <w:top w:val="single" w:sz="6" w:space="0" w:color="000000"/>
              <w:left w:val="single" w:sz="6" w:space="0" w:color="000000"/>
              <w:bottom w:val="single" w:sz="6" w:space="0" w:color="000000"/>
              <w:right w:val="single" w:sz="6" w:space="0" w:color="000000"/>
            </w:tcBorders>
            <w:hideMark/>
          </w:tcPr>
          <w:p w14:paraId="5DEE86E7"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22BA406F"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01004, Україна, Київська обл., - р-н, Київ, Шовковична, 42-44</w:t>
            </w:r>
          </w:p>
        </w:tc>
      </w:tr>
      <w:tr w:rsidR="000D43D3" w:rsidRPr="004229C1" w14:paraId="6069AF71"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785AD45"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3E551093"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НКЦПФР № 138</w:t>
            </w:r>
          </w:p>
        </w:tc>
      </w:tr>
      <w:tr w:rsidR="000D43D3" w:rsidRPr="004229C1" w14:paraId="79A89CF1" w14:textId="77777777" w:rsidTr="003F24B3">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17C6C4C"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2D538F2E"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r>
      <w:tr w:rsidR="000D43D3" w:rsidRPr="004229C1" w14:paraId="696E9376"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499C375"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29EC4DBA"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05.03.2019</w:t>
            </w:r>
          </w:p>
        </w:tc>
      </w:tr>
      <w:tr w:rsidR="000D43D3" w:rsidRPr="004229C1" w14:paraId="07265BEA"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521C0D3A"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19345179"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277-50-00</w:t>
            </w:r>
          </w:p>
        </w:tc>
      </w:tr>
      <w:tr w:rsidR="000D43D3" w:rsidRPr="004229C1" w14:paraId="12D3D5F6" w14:textId="77777777" w:rsidTr="003F24B3">
        <w:trPr>
          <w:trHeight w:val="1516"/>
        </w:trPr>
        <w:tc>
          <w:tcPr>
            <w:tcW w:w="5866" w:type="dxa"/>
            <w:tcBorders>
              <w:top w:val="single" w:sz="6" w:space="0" w:color="000000"/>
              <w:left w:val="single" w:sz="6" w:space="0" w:color="000000"/>
              <w:bottom w:val="single" w:sz="6" w:space="0" w:color="000000"/>
              <w:right w:val="single" w:sz="6" w:space="0" w:color="000000"/>
            </w:tcBorders>
            <w:hideMark/>
          </w:tcPr>
          <w:p w14:paraId="65A0C206"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63404BDA"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66.11 -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фiнансовими</w:t>
            </w:r>
            <w:proofErr w:type="spellEnd"/>
            <w:r w:rsidRPr="004229C1">
              <w:rPr>
                <w:rFonts w:ascii="Times New Roman" w:hAnsi="Times New Roman" w:cs="Times New Roman"/>
                <w:kern w:val="0"/>
                <w:sz w:val="22"/>
                <w:szCs w:val="22"/>
                <w:lang w:val="uk-UA"/>
              </w:rPr>
              <w:t xml:space="preserve"> ринками</w:t>
            </w:r>
          </w:p>
          <w:p w14:paraId="34AAC4B6"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82.30 - </w:t>
            </w:r>
            <w:proofErr w:type="spellStart"/>
            <w:r w:rsidRPr="004229C1">
              <w:rPr>
                <w:rFonts w:ascii="Times New Roman" w:hAnsi="Times New Roman" w:cs="Times New Roman"/>
                <w:kern w:val="0"/>
                <w:sz w:val="22"/>
                <w:szCs w:val="22"/>
                <w:lang w:val="uk-UA"/>
              </w:rPr>
              <w:t>Органiзування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конгресiв</w:t>
            </w:r>
            <w:proofErr w:type="spellEnd"/>
            <w:r w:rsidRPr="004229C1">
              <w:rPr>
                <w:rFonts w:ascii="Times New Roman" w:hAnsi="Times New Roman" w:cs="Times New Roman"/>
                <w:kern w:val="0"/>
                <w:sz w:val="22"/>
                <w:szCs w:val="22"/>
                <w:lang w:val="uk-UA"/>
              </w:rPr>
              <w:t xml:space="preserve"> i торговельних виставок</w:t>
            </w:r>
          </w:p>
          <w:p w14:paraId="16493DC8"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82.99 - Надання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допомiжних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комерцiйних</w:t>
            </w:r>
            <w:proofErr w:type="spellEnd"/>
            <w:r w:rsidRPr="004229C1">
              <w:rPr>
                <w:rFonts w:ascii="Times New Roman" w:hAnsi="Times New Roman" w:cs="Times New Roman"/>
                <w:kern w:val="0"/>
                <w:sz w:val="22"/>
                <w:szCs w:val="22"/>
                <w:lang w:val="uk-UA"/>
              </w:rPr>
              <w:t xml:space="preserve"> послуг, </w:t>
            </w:r>
            <w:proofErr w:type="spellStart"/>
            <w:r w:rsidRPr="004229C1">
              <w:rPr>
                <w:rFonts w:ascii="Times New Roman" w:hAnsi="Times New Roman" w:cs="Times New Roman"/>
                <w:kern w:val="0"/>
                <w:sz w:val="22"/>
                <w:szCs w:val="22"/>
                <w:lang w:val="uk-UA"/>
              </w:rPr>
              <w:t>н.в.i.у</w:t>
            </w:r>
            <w:proofErr w:type="spellEnd"/>
            <w:r w:rsidRPr="004229C1">
              <w:rPr>
                <w:rFonts w:ascii="Times New Roman" w:hAnsi="Times New Roman" w:cs="Times New Roman"/>
                <w:kern w:val="0"/>
                <w:sz w:val="22"/>
                <w:szCs w:val="22"/>
                <w:lang w:val="uk-UA"/>
              </w:rPr>
              <w:t>.</w:t>
            </w:r>
          </w:p>
        </w:tc>
      </w:tr>
      <w:tr w:rsidR="000D43D3" w:rsidRPr="004229C1" w14:paraId="682F3E96" w14:textId="77777777" w:rsidTr="003F24B3">
        <w:trPr>
          <w:trHeight w:val="757"/>
        </w:trPr>
        <w:tc>
          <w:tcPr>
            <w:tcW w:w="5866" w:type="dxa"/>
            <w:tcBorders>
              <w:top w:val="single" w:sz="6" w:space="0" w:color="000000"/>
              <w:left w:val="single" w:sz="6" w:space="0" w:color="000000"/>
              <w:bottom w:val="single" w:sz="6" w:space="0" w:color="000000"/>
              <w:right w:val="single" w:sz="6" w:space="0" w:color="000000"/>
            </w:tcBorders>
            <w:hideMark/>
          </w:tcPr>
          <w:p w14:paraId="63C3E999"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6DE58B5D"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на фондовому</w:t>
            </w:r>
          </w:p>
          <w:p w14:paraId="1A20677F"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ринку -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органiзацiї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торгiвлi</w:t>
            </w:r>
            <w:proofErr w:type="spellEnd"/>
            <w:r w:rsidRPr="004229C1">
              <w:rPr>
                <w:rFonts w:ascii="Times New Roman" w:hAnsi="Times New Roman" w:cs="Times New Roman"/>
                <w:kern w:val="0"/>
                <w:sz w:val="22"/>
                <w:szCs w:val="22"/>
                <w:lang w:val="uk-UA"/>
              </w:rPr>
              <w:t xml:space="preserve"> на фондовому ринку</w:t>
            </w:r>
          </w:p>
        </w:tc>
      </w:tr>
    </w:tbl>
    <w:p w14:paraId="7780FD52"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b/>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0D43D3" w:rsidRPr="004229C1" w14:paraId="7B2E0C4D" w14:textId="77777777" w:rsidTr="003F24B3">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2A832428"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040EE5A1"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Публiчне</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акцiонерне</w:t>
            </w:r>
            <w:proofErr w:type="spellEnd"/>
            <w:r w:rsidRPr="004229C1">
              <w:rPr>
                <w:rFonts w:ascii="Times New Roman" w:hAnsi="Times New Roman" w:cs="Times New Roman"/>
                <w:kern w:val="0"/>
                <w:sz w:val="22"/>
                <w:szCs w:val="22"/>
                <w:lang w:val="uk-UA"/>
              </w:rPr>
              <w:t xml:space="preserve"> товариство "Розрахунковий центр з обслуговування </w:t>
            </w:r>
            <w:proofErr w:type="spellStart"/>
            <w:r w:rsidRPr="004229C1">
              <w:rPr>
                <w:rFonts w:ascii="Times New Roman" w:hAnsi="Times New Roman" w:cs="Times New Roman"/>
                <w:kern w:val="0"/>
                <w:sz w:val="22"/>
                <w:szCs w:val="22"/>
                <w:lang w:val="uk-UA"/>
              </w:rPr>
              <w:t>договорiв</w:t>
            </w:r>
            <w:proofErr w:type="spellEnd"/>
            <w:r w:rsidRPr="004229C1">
              <w:rPr>
                <w:rFonts w:ascii="Times New Roman" w:hAnsi="Times New Roman" w:cs="Times New Roman"/>
                <w:kern w:val="0"/>
                <w:sz w:val="22"/>
                <w:szCs w:val="22"/>
                <w:lang w:val="uk-UA"/>
              </w:rPr>
              <w:t xml:space="preserve"> на</w:t>
            </w:r>
          </w:p>
          <w:p w14:paraId="4A8C15D3"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фiнансових</w:t>
            </w:r>
            <w:proofErr w:type="spellEnd"/>
            <w:r w:rsidRPr="004229C1">
              <w:rPr>
                <w:rFonts w:ascii="Times New Roman" w:hAnsi="Times New Roman" w:cs="Times New Roman"/>
                <w:kern w:val="0"/>
                <w:sz w:val="22"/>
                <w:szCs w:val="22"/>
                <w:lang w:val="uk-UA"/>
              </w:rPr>
              <w:t xml:space="preserve"> ринках"</w:t>
            </w:r>
          </w:p>
        </w:tc>
      </w:tr>
      <w:tr w:rsidR="000D43D3" w:rsidRPr="004229C1" w14:paraId="6866C71D"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09ADF35"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4071CA32" w14:textId="5B3143E7" w:rsidR="000D43D3" w:rsidRPr="004229C1" w:rsidRDefault="00E35F0D"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D43D3" w:rsidRPr="004229C1" w14:paraId="3D7D791B" w14:textId="77777777" w:rsidTr="003F24B3">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49F19367"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53B0B786" w14:textId="0C06CADD" w:rsidR="000D43D3" w:rsidRPr="004229C1" w:rsidRDefault="00E35F0D"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D43D3" w:rsidRPr="004229C1" w14:paraId="66B05D5F"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19BCA17"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20A4A08F"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Публічне акціонерне товариство</w:t>
            </w:r>
          </w:p>
        </w:tc>
      </w:tr>
      <w:tr w:rsidR="000D43D3" w:rsidRPr="004229C1" w14:paraId="61C3865C"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6FAF409"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3470ADAD"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35917889</w:t>
            </w:r>
          </w:p>
        </w:tc>
      </w:tr>
      <w:tr w:rsidR="000D43D3" w:rsidRPr="004229C1" w14:paraId="170EF581" w14:textId="77777777" w:rsidTr="003F24B3">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25066053"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00AA0F05"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04107, Україна, Київська обл., - р-н, Київ, </w:t>
            </w:r>
            <w:proofErr w:type="spellStart"/>
            <w:r w:rsidRPr="004229C1">
              <w:rPr>
                <w:rFonts w:ascii="Times New Roman" w:hAnsi="Times New Roman" w:cs="Times New Roman"/>
                <w:kern w:val="0"/>
                <w:sz w:val="22"/>
                <w:szCs w:val="22"/>
                <w:lang w:val="uk-UA"/>
              </w:rPr>
              <w:t>вул.Якубенкiвська</w:t>
            </w:r>
            <w:proofErr w:type="spellEnd"/>
            <w:r w:rsidRPr="004229C1">
              <w:rPr>
                <w:rFonts w:ascii="Times New Roman" w:hAnsi="Times New Roman" w:cs="Times New Roman"/>
                <w:kern w:val="0"/>
                <w:sz w:val="22"/>
                <w:szCs w:val="22"/>
                <w:lang w:val="uk-UA"/>
              </w:rPr>
              <w:t>, 7-Г</w:t>
            </w:r>
          </w:p>
        </w:tc>
      </w:tr>
      <w:tr w:rsidR="000D43D3" w:rsidRPr="004229C1" w14:paraId="60702860"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3ED22AB"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2B57C011"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АЕ №263463</w:t>
            </w:r>
          </w:p>
        </w:tc>
      </w:tr>
      <w:tr w:rsidR="000D43D3" w:rsidRPr="004229C1" w14:paraId="033F8822" w14:textId="77777777" w:rsidTr="003F24B3">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9C9C50D"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5C996188"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r>
      <w:tr w:rsidR="000D43D3" w:rsidRPr="004229C1" w14:paraId="608BA5A8" w14:textId="77777777" w:rsidTr="002B4288">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02C12A2A"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477B4ED2"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03.10.2013</w:t>
            </w:r>
          </w:p>
        </w:tc>
      </w:tr>
      <w:tr w:rsidR="000D43D3" w:rsidRPr="004229C1" w14:paraId="450EF1FD" w14:textId="77777777" w:rsidTr="002B4288">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685F06EE"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2099BDB1"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585-42-42, (044) 481-00-99</w:t>
            </w:r>
          </w:p>
        </w:tc>
      </w:tr>
      <w:tr w:rsidR="000D43D3" w:rsidRPr="004229C1" w14:paraId="6412501E" w14:textId="77777777" w:rsidTr="002B4288">
        <w:trPr>
          <w:trHeight w:val="2022"/>
        </w:trPr>
        <w:tc>
          <w:tcPr>
            <w:tcW w:w="5866" w:type="dxa"/>
            <w:tcBorders>
              <w:top w:val="single" w:sz="6" w:space="0" w:color="000000"/>
              <w:left w:val="single" w:sz="6" w:space="0" w:color="000000"/>
              <w:bottom w:val="single" w:sz="6" w:space="0" w:color="000000"/>
              <w:right w:val="single" w:sz="6" w:space="0" w:color="000000"/>
            </w:tcBorders>
            <w:hideMark/>
          </w:tcPr>
          <w:p w14:paraId="696643B6"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13407DED"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64.99 - Надання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фiнансових</w:t>
            </w:r>
            <w:proofErr w:type="spellEnd"/>
            <w:r w:rsidRPr="004229C1">
              <w:rPr>
                <w:rFonts w:ascii="Times New Roman" w:hAnsi="Times New Roman" w:cs="Times New Roman"/>
                <w:kern w:val="0"/>
                <w:sz w:val="22"/>
                <w:szCs w:val="22"/>
                <w:lang w:val="uk-UA"/>
              </w:rPr>
              <w:t xml:space="preserve"> послуг (</w:t>
            </w:r>
            <w:proofErr w:type="spellStart"/>
            <w:r w:rsidRPr="004229C1">
              <w:rPr>
                <w:rFonts w:ascii="Times New Roman" w:hAnsi="Times New Roman" w:cs="Times New Roman"/>
                <w:kern w:val="0"/>
                <w:sz w:val="22"/>
                <w:szCs w:val="22"/>
                <w:lang w:val="uk-UA"/>
              </w:rPr>
              <w:t>крiм</w:t>
            </w:r>
            <w:proofErr w:type="spellEnd"/>
            <w:r w:rsidRPr="004229C1">
              <w:rPr>
                <w:rFonts w:ascii="Times New Roman" w:hAnsi="Times New Roman" w:cs="Times New Roman"/>
                <w:kern w:val="0"/>
                <w:sz w:val="22"/>
                <w:szCs w:val="22"/>
                <w:lang w:val="uk-UA"/>
              </w:rPr>
              <w:t xml:space="preserve"> страхування та </w:t>
            </w:r>
            <w:proofErr w:type="spellStart"/>
            <w:r w:rsidRPr="004229C1">
              <w:rPr>
                <w:rFonts w:ascii="Times New Roman" w:hAnsi="Times New Roman" w:cs="Times New Roman"/>
                <w:kern w:val="0"/>
                <w:sz w:val="22"/>
                <w:szCs w:val="22"/>
                <w:lang w:val="uk-UA"/>
              </w:rPr>
              <w:t>пенсiйного</w:t>
            </w:r>
            <w:proofErr w:type="spellEnd"/>
          </w:p>
          <w:p w14:paraId="2C2BBAA6"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забезпечення), </w:t>
            </w:r>
            <w:proofErr w:type="spellStart"/>
            <w:r w:rsidRPr="004229C1">
              <w:rPr>
                <w:rFonts w:ascii="Times New Roman" w:hAnsi="Times New Roman" w:cs="Times New Roman"/>
                <w:kern w:val="0"/>
                <w:sz w:val="22"/>
                <w:szCs w:val="22"/>
                <w:lang w:val="uk-UA"/>
              </w:rPr>
              <w:t>н.в.i.у</w:t>
            </w:r>
            <w:proofErr w:type="spellEnd"/>
            <w:r w:rsidRPr="004229C1">
              <w:rPr>
                <w:rFonts w:ascii="Times New Roman" w:hAnsi="Times New Roman" w:cs="Times New Roman"/>
                <w:kern w:val="0"/>
                <w:sz w:val="22"/>
                <w:szCs w:val="22"/>
                <w:lang w:val="uk-UA"/>
              </w:rPr>
              <w:t>.</w:t>
            </w:r>
          </w:p>
          <w:p w14:paraId="24A44C12"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58.29 - Видання </w:t>
            </w:r>
            <w:proofErr w:type="spellStart"/>
            <w:r w:rsidRPr="004229C1">
              <w:rPr>
                <w:rFonts w:ascii="Times New Roman" w:hAnsi="Times New Roman" w:cs="Times New Roman"/>
                <w:kern w:val="0"/>
                <w:sz w:val="22"/>
                <w:szCs w:val="22"/>
                <w:lang w:val="uk-UA"/>
              </w:rPr>
              <w:t>iншого</w:t>
            </w:r>
            <w:proofErr w:type="spellEnd"/>
            <w:r w:rsidRPr="004229C1">
              <w:rPr>
                <w:rFonts w:ascii="Times New Roman" w:hAnsi="Times New Roman" w:cs="Times New Roman"/>
                <w:kern w:val="0"/>
                <w:sz w:val="22"/>
                <w:szCs w:val="22"/>
                <w:lang w:val="uk-UA"/>
              </w:rPr>
              <w:t xml:space="preserve"> програмного забезпечення</w:t>
            </w:r>
          </w:p>
          <w:p w14:paraId="4E07193E"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63.11 - Оброблення даних, </w:t>
            </w:r>
            <w:proofErr w:type="spellStart"/>
            <w:r w:rsidRPr="004229C1">
              <w:rPr>
                <w:rFonts w:ascii="Times New Roman" w:hAnsi="Times New Roman" w:cs="Times New Roman"/>
                <w:kern w:val="0"/>
                <w:sz w:val="22"/>
                <w:szCs w:val="22"/>
                <w:lang w:val="uk-UA"/>
              </w:rPr>
              <w:t>розмiщення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iнформацiї</w:t>
            </w:r>
            <w:proofErr w:type="spellEnd"/>
            <w:r w:rsidRPr="004229C1">
              <w:rPr>
                <w:rFonts w:ascii="Times New Roman" w:hAnsi="Times New Roman" w:cs="Times New Roman"/>
                <w:kern w:val="0"/>
                <w:sz w:val="22"/>
                <w:szCs w:val="22"/>
                <w:lang w:val="uk-UA"/>
              </w:rPr>
              <w:t xml:space="preserve"> на веб-вузлах i пов'язана з</w:t>
            </w:r>
          </w:p>
          <w:p w14:paraId="01603D0A"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ними </w:t>
            </w:r>
            <w:proofErr w:type="spellStart"/>
            <w:r w:rsidRPr="004229C1">
              <w:rPr>
                <w:rFonts w:ascii="Times New Roman" w:hAnsi="Times New Roman" w:cs="Times New Roman"/>
                <w:kern w:val="0"/>
                <w:sz w:val="22"/>
                <w:szCs w:val="22"/>
                <w:lang w:val="uk-UA"/>
              </w:rPr>
              <w:t>дiяльнiсть</w:t>
            </w:r>
            <w:proofErr w:type="spellEnd"/>
          </w:p>
        </w:tc>
      </w:tr>
      <w:tr w:rsidR="000D43D3" w:rsidRPr="004229C1" w14:paraId="2B6F73CA" w14:textId="77777777" w:rsidTr="002B4288">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2D98848A" w14:textId="77777777" w:rsidR="000D43D3" w:rsidRPr="004229C1" w:rsidRDefault="000D43D3" w:rsidP="000D43D3">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4F2167D1"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на ринках </w:t>
            </w:r>
            <w:proofErr w:type="spellStart"/>
            <w:r w:rsidRPr="004229C1">
              <w:rPr>
                <w:rFonts w:ascii="Times New Roman" w:hAnsi="Times New Roman" w:cs="Times New Roman"/>
                <w:kern w:val="0"/>
                <w:sz w:val="22"/>
                <w:szCs w:val="22"/>
                <w:lang w:val="uk-UA"/>
              </w:rPr>
              <w:t>капiталу</w:t>
            </w:r>
            <w:proofErr w:type="spellEnd"/>
            <w:r w:rsidRPr="004229C1">
              <w:rPr>
                <w:rFonts w:ascii="Times New Roman" w:hAnsi="Times New Roman" w:cs="Times New Roman"/>
                <w:kern w:val="0"/>
                <w:sz w:val="22"/>
                <w:szCs w:val="22"/>
                <w:lang w:val="uk-UA"/>
              </w:rPr>
              <w:t xml:space="preserve"> - </w:t>
            </w:r>
            <w:proofErr w:type="spellStart"/>
            <w:r w:rsidRPr="004229C1">
              <w:rPr>
                <w:rFonts w:ascii="Times New Roman" w:hAnsi="Times New Roman" w:cs="Times New Roman"/>
                <w:kern w:val="0"/>
                <w:sz w:val="22"/>
                <w:szCs w:val="22"/>
                <w:lang w:val="uk-UA"/>
              </w:rPr>
              <w:t>клiрингова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з визначення </w:t>
            </w:r>
            <w:proofErr w:type="spellStart"/>
            <w:r w:rsidRPr="004229C1">
              <w:rPr>
                <w:rFonts w:ascii="Times New Roman" w:hAnsi="Times New Roman" w:cs="Times New Roman"/>
                <w:kern w:val="0"/>
                <w:sz w:val="22"/>
                <w:szCs w:val="22"/>
                <w:lang w:val="uk-UA"/>
              </w:rPr>
              <w:t>зобов'язань.Клiрингова</w:t>
            </w:r>
            <w:proofErr w:type="spellEnd"/>
          </w:p>
          <w:p w14:paraId="4F9893EB" w14:textId="77777777" w:rsidR="000D43D3" w:rsidRPr="004229C1" w:rsidRDefault="000D43D3"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центрального контрагента</w:t>
            </w:r>
          </w:p>
        </w:tc>
      </w:tr>
    </w:tbl>
    <w:p w14:paraId="431E44E5" w14:textId="77777777" w:rsidR="000D43D3" w:rsidRPr="004229C1" w:rsidRDefault="000D43D3">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8A4919" w:rsidRPr="004229C1" w14:paraId="118E0E77" w14:textId="77777777" w:rsidTr="00E35F0D">
        <w:trPr>
          <w:trHeight w:val="627"/>
        </w:trPr>
        <w:tc>
          <w:tcPr>
            <w:tcW w:w="5866" w:type="dxa"/>
            <w:tcBorders>
              <w:top w:val="single" w:sz="6" w:space="0" w:color="000000"/>
              <w:left w:val="single" w:sz="6" w:space="0" w:color="000000"/>
              <w:bottom w:val="single" w:sz="6" w:space="0" w:color="000000"/>
              <w:right w:val="single" w:sz="6" w:space="0" w:color="000000"/>
            </w:tcBorders>
            <w:hideMark/>
          </w:tcPr>
          <w:p w14:paraId="4BBEA756"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1A7EE7C4" w14:textId="7700D9FA" w:rsidR="008A4919" w:rsidRPr="004229C1" w:rsidRDefault="008A4919" w:rsidP="00C916B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"Українська колекторська </w:t>
            </w:r>
            <w:proofErr w:type="spellStart"/>
            <w:r w:rsidRPr="004229C1">
              <w:rPr>
                <w:rFonts w:ascii="Times New Roman" w:hAnsi="Times New Roman" w:cs="Times New Roman"/>
                <w:kern w:val="0"/>
                <w:sz w:val="22"/>
                <w:szCs w:val="22"/>
                <w:lang w:val="uk-UA"/>
              </w:rPr>
              <w:t>агенцiя</w:t>
            </w:r>
            <w:proofErr w:type="spellEnd"/>
            <w:r w:rsidRPr="004229C1">
              <w:rPr>
                <w:rFonts w:ascii="Times New Roman" w:hAnsi="Times New Roman" w:cs="Times New Roman"/>
                <w:kern w:val="0"/>
                <w:sz w:val="22"/>
                <w:szCs w:val="22"/>
                <w:lang w:val="uk-UA"/>
              </w:rPr>
              <w:t>"</w:t>
            </w:r>
          </w:p>
        </w:tc>
      </w:tr>
      <w:tr w:rsidR="008A4919" w:rsidRPr="004229C1" w14:paraId="3D534D6B"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1CDB0EB"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1B08D801" w14:textId="40ED536B" w:rsidR="008A4919" w:rsidRPr="004229C1" w:rsidRDefault="00E35F0D" w:rsidP="00C916B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665C50D6" w14:textId="77777777" w:rsidTr="00C916B4">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3FCDDE68"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57DA2222" w14:textId="6BA60596" w:rsidR="008A4919" w:rsidRPr="004229C1" w:rsidRDefault="00E35F0D" w:rsidP="00C916B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565F6D34"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E95FD73"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5B293191" w14:textId="088717CC"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w:t>
            </w:r>
          </w:p>
        </w:tc>
      </w:tr>
      <w:tr w:rsidR="008A4919" w:rsidRPr="004229C1" w14:paraId="1C8622D0"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5ED4274"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1A1B1876" w14:textId="7AB5A839"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41501722</w:t>
            </w:r>
          </w:p>
        </w:tc>
      </w:tr>
      <w:tr w:rsidR="008A4919" w:rsidRPr="004229C1" w14:paraId="7497E63B"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60F24506"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494EF19D" w14:textId="73DF9287"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14000, Україна, - р-н, м. </w:t>
            </w:r>
            <w:proofErr w:type="spellStart"/>
            <w:r w:rsidRPr="004229C1">
              <w:rPr>
                <w:rFonts w:ascii="Times New Roman" w:hAnsi="Times New Roman" w:cs="Times New Roman"/>
                <w:sz w:val="22"/>
                <w:szCs w:val="22"/>
                <w:lang w:val="uk-UA"/>
              </w:rPr>
              <w:t>Чернiгiв</w:t>
            </w:r>
            <w:proofErr w:type="spellEnd"/>
            <w:r w:rsidRPr="004229C1">
              <w:rPr>
                <w:rFonts w:ascii="Times New Roman" w:hAnsi="Times New Roman" w:cs="Times New Roman"/>
                <w:sz w:val="22"/>
                <w:szCs w:val="22"/>
                <w:lang w:val="uk-UA"/>
              </w:rPr>
              <w:t>, пр. Миру, буд.42А</w:t>
            </w:r>
          </w:p>
        </w:tc>
      </w:tr>
      <w:tr w:rsidR="008A4919" w:rsidRPr="004229C1" w14:paraId="0E33EC4C"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0268493E"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75CE80E6" w14:textId="59AC1153"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5</w:t>
            </w:r>
          </w:p>
        </w:tc>
      </w:tr>
      <w:tr w:rsidR="008A4919" w:rsidRPr="004229C1" w14:paraId="37C219B1"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8FCEA03"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19AA5D18" w14:textId="5396E32D" w:rsidR="008A4919" w:rsidRPr="004229C1" w:rsidRDefault="008A4919" w:rsidP="008A4919">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sz w:val="22"/>
                <w:szCs w:val="22"/>
                <w:lang w:val="uk-UA"/>
              </w:rPr>
              <w:t>Нацiональний</w:t>
            </w:r>
            <w:proofErr w:type="spellEnd"/>
            <w:r w:rsidRPr="004229C1">
              <w:rPr>
                <w:rFonts w:ascii="Times New Roman" w:hAnsi="Times New Roman" w:cs="Times New Roman"/>
                <w:sz w:val="22"/>
                <w:szCs w:val="22"/>
                <w:lang w:val="uk-UA"/>
              </w:rPr>
              <w:t xml:space="preserve"> банк України</w:t>
            </w:r>
          </w:p>
        </w:tc>
      </w:tr>
      <w:tr w:rsidR="008A4919" w:rsidRPr="004229C1" w14:paraId="239F81BF" w14:textId="77777777" w:rsidTr="003F24B3">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2C606914"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09ABEC93" w14:textId="41B1297E" w:rsidR="008A4919" w:rsidRPr="004229C1" w:rsidRDefault="008A4919"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03.09.2021</w:t>
            </w:r>
          </w:p>
        </w:tc>
      </w:tr>
      <w:tr w:rsidR="008A4919" w:rsidRPr="004229C1" w14:paraId="02D6C366"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94134A9"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158DFAAF" w14:textId="25B54331" w:rsidR="008A4919" w:rsidRPr="004229C1" w:rsidRDefault="008A4919"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+38 (073) 737 59 62</w:t>
            </w:r>
          </w:p>
        </w:tc>
      </w:tr>
      <w:tr w:rsidR="008A4919" w:rsidRPr="004229C1" w14:paraId="1864773F" w14:textId="77777777" w:rsidTr="003F24B3">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0412DFE6"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693B0610" w14:textId="18302E5C" w:rsidR="008A4919" w:rsidRPr="004229C1" w:rsidRDefault="008A4919"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82.91 </w:t>
            </w:r>
            <w:proofErr w:type="spellStart"/>
            <w:r w:rsidRPr="004229C1">
              <w:rPr>
                <w:rFonts w:ascii="Times New Roman" w:hAnsi="Times New Roman" w:cs="Times New Roman"/>
                <w:sz w:val="22"/>
                <w:szCs w:val="22"/>
                <w:lang w:val="uk-UA"/>
              </w:rPr>
              <w:t>Дiяльнiсть</w:t>
            </w:r>
            <w:proofErr w:type="spellEnd"/>
            <w:r w:rsidRPr="004229C1">
              <w:rPr>
                <w:rFonts w:ascii="Times New Roman" w:hAnsi="Times New Roman" w:cs="Times New Roman"/>
                <w:sz w:val="22"/>
                <w:szCs w:val="22"/>
                <w:lang w:val="uk-UA"/>
              </w:rPr>
              <w:t xml:space="preserve"> агентств </w:t>
            </w:r>
            <w:proofErr w:type="spellStart"/>
            <w:r w:rsidRPr="004229C1">
              <w:rPr>
                <w:rFonts w:ascii="Times New Roman" w:hAnsi="Times New Roman" w:cs="Times New Roman"/>
                <w:sz w:val="22"/>
                <w:szCs w:val="22"/>
                <w:lang w:val="uk-UA"/>
              </w:rPr>
              <w:t>зi</w:t>
            </w:r>
            <w:proofErr w:type="spellEnd"/>
            <w:r w:rsidRPr="004229C1">
              <w:rPr>
                <w:rFonts w:ascii="Times New Roman" w:hAnsi="Times New Roman" w:cs="Times New Roman"/>
                <w:sz w:val="22"/>
                <w:szCs w:val="22"/>
                <w:lang w:val="uk-UA"/>
              </w:rPr>
              <w:t xml:space="preserve"> стягування </w:t>
            </w:r>
            <w:proofErr w:type="spellStart"/>
            <w:r w:rsidRPr="004229C1">
              <w:rPr>
                <w:rFonts w:ascii="Times New Roman" w:hAnsi="Times New Roman" w:cs="Times New Roman"/>
                <w:sz w:val="22"/>
                <w:szCs w:val="22"/>
                <w:lang w:val="uk-UA"/>
              </w:rPr>
              <w:t>платежiв</w:t>
            </w:r>
            <w:proofErr w:type="spellEnd"/>
            <w:r w:rsidRPr="004229C1">
              <w:rPr>
                <w:rFonts w:ascii="Times New Roman" w:hAnsi="Times New Roman" w:cs="Times New Roman"/>
                <w:sz w:val="22"/>
                <w:szCs w:val="22"/>
                <w:lang w:val="uk-UA"/>
              </w:rPr>
              <w:t xml:space="preserve"> i бюро кредитних </w:t>
            </w:r>
            <w:proofErr w:type="spellStart"/>
            <w:r w:rsidRPr="004229C1">
              <w:rPr>
                <w:rFonts w:ascii="Times New Roman" w:hAnsi="Times New Roman" w:cs="Times New Roman"/>
                <w:sz w:val="22"/>
                <w:szCs w:val="22"/>
                <w:lang w:val="uk-UA"/>
              </w:rPr>
              <w:t>iсторiй</w:t>
            </w:r>
            <w:proofErr w:type="spellEnd"/>
            <w:r w:rsidRPr="004229C1">
              <w:rPr>
                <w:rFonts w:ascii="Times New Roman" w:hAnsi="Times New Roman" w:cs="Times New Roman"/>
                <w:sz w:val="22"/>
                <w:szCs w:val="22"/>
                <w:lang w:val="uk-UA"/>
              </w:rPr>
              <w:t xml:space="preserve"> (основний)</w:t>
            </w:r>
          </w:p>
        </w:tc>
      </w:tr>
      <w:tr w:rsidR="008A4919" w:rsidRPr="004229C1" w14:paraId="733BB444" w14:textId="77777777" w:rsidTr="003F24B3">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613F60C9"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7A26B27B"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82.91 </w:t>
            </w:r>
            <w:proofErr w:type="spellStart"/>
            <w:r w:rsidRPr="004229C1">
              <w:rPr>
                <w:rFonts w:ascii="Times New Roman" w:hAnsi="Times New Roman" w:cs="Times New Roman"/>
                <w:sz w:val="22"/>
                <w:szCs w:val="22"/>
                <w:lang w:val="uk-UA"/>
              </w:rPr>
              <w:t>Дiяльнiсть</w:t>
            </w:r>
            <w:proofErr w:type="spellEnd"/>
            <w:r w:rsidRPr="004229C1">
              <w:rPr>
                <w:rFonts w:ascii="Times New Roman" w:hAnsi="Times New Roman" w:cs="Times New Roman"/>
                <w:sz w:val="22"/>
                <w:szCs w:val="22"/>
                <w:lang w:val="uk-UA"/>
              </w:rPr>
              <w:t xml:space="preserve"> агентств </w:t>
            </w:r>
            <w:proofErr w:type="spellStart"/>
            <w:r w:rsidRPr="004229C1">
              <w:rPr>
                <w:rFonts w:ascii="Times New Roman" w:hAnsi="Times New Roman" w:cs="Times New Roman"/>
                <w:sz w:val="22"/>
                <w:szCs w:val="22"/>
                <w:lang w:val="uk-UA"/>
              </w:rPr>
              <w:t>зi</w:t>
            </w:r>
            <w:proofErr w:type="spellEnd"/>
            <w:r w:rsidRPr="004229C1">
              <w:rPr>
                <w:rFonts w:ascii="Times New Roman" w:hAnsi="Times New Roman" w:cs="Times New Roman"/>
                <w:sz w:val="22"/>
                <w:szCs w:val="22"/>
                <w:lang w:val="uk-UA"/>
              </w:rPr>
              <w:t xml:space="preserve"> стягування </w:t>
            </w:r>
            <w:proofErr w:type="spellStart"/>
            <w:r w:rsidRPr="004229C1">
              <w:rPr>
                <w:rFonts w:ascii="Times New Roman" w:hAnsi="Times New Roman" w:cs="Times New Roman"/>
                <w:sz w:val="22"/>
                <w:szCs w:val="22"/>
                <w:lang w:val="uk-UA"/>
              </w:rPr>
              <w:t>платежiв</w:t>
            </w:r>
            <w:proofErr w:type="spellEnd"/>
            <w:r w:rsidRPr="004229C1">
              <w:rPr>
                <w:rFonts w:ascii="Times New Roman" w:hAnsi="Times New Roman" w:cs="Times New Roman"/>
                <w:sz w:val="22"/>
                <w:szCs w:val="22"/>
                <w:lang w:val="uk-UA"/>
              </w:rPr>
              <w:t xml:space="preserve"> i бюро кредитних </w:t>
            </w:r>
            <w:proofErr w:type="spellStart"/>
            <w:r w:rsidRPr="004229C1">
              <w:rPr>
                <w:rFonts w:ascii="Times New Roman" w:hAnsi="Times New Roman" w:cs="Times New Roman"/>
                <w:sz w:val="22"/>
                <w:szCs w:val="22"/>
                <w:lang w:val="uk-UA"/>
              </w:rPr>
              <w:t>iсторiй</w:t>
            </w:r>
            <w:proofErr w:type="spellEnd"/>
            <w:r w:rsidRPr="004229C1">
              <w:rPr>
                <w:rFonts w:ascii="Times New Roman" w:hAnsi="Times New Roman" w:cs="Times New Roman"/>
                <w:sz w:val="22"/>
                <w:szCs w:val="22"/>
                <w:lang w:val="uk-UA"/>
              </w:rPr>
              <w:t xml:space="preserve"> (основний)</w:t>
            </w:r>
          </w:p>
          <w:p w14:paraId="399A0EFF"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63.99 Надання інших інформаційних послуг, </w:t>
            </w:r>
            <w:proofErr w:type="spellStart"/>
            <w:r w:rsidRPr="004229C1">
              <w:rPr>
                <w:rFonts w:ascii="Times New Roman" w:hAnsi="Times New Roman" w:cs="Times New Roman"/>
                <w:sz w:val="22"/>
                <w:szCs w:val="22"/>
                <w:lang w:val="uk-UA"/>
              </w:rPr>
              <w:t>н.в.і.у</w:t>
            </w:r>
            <w:proofErr w:type="spellEnd"/>
            <w:r w:rsidRPr="004229C1">
              <w:rPr>
                <w:rFonts w:ascii="Times New Roman" w:hAnsi="Times New Roman" w:cs="Times New Roman"/>
                <w:sz w:val="22"/>
                <w:szCs w:val="22"/>
                <w:lang w:val="uk-UA"/>
              </w:rPr>
              <w:t>.</w:t>
            </w:r>
          </w:p>
          <w:p w14:paraId="663E1F48"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68.20 Надання в оренду й експлуатацію власного чи орендованого</w:t>
            </w:r>
          </w:p>
          <w:p w14:paraId="7842F468"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нерухомого майна</w:t>
            </w:r>
          </w:p>
          <w:p w14:paraId="3BA71F29"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82.20 Діяльність телефонних центрів</w:t>
            </w:r>
          </w:p>
          <w:p w14:paraId="15633898"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82.11 Надання комбінованих офісних адміністративних послуг</w:t>
            </w:r>
          </w:p>
          <w:p w14:paraId="1A7EEAC0" w14:textId="77777777" w:rsidR="008A4919" w:rsidRPr="004229C1" w:rsidRDefault="008A4919"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63.11 Оброблення даних, розміщення інформації на веб-вузлах і</w:t>
            </w:r>
          </w:p>
          <w:p w14:paraId="209AF1D1" w14:textId="12007ED3" w:rsidR="008A4919" w:rsidRPr="004229C1" w:rsidRDefault="008A4919" w:rsidP="003F24B3">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пов'язана з ними діяльність</w:t>
            </w:r>
          </w:p>
        </w:tc>
      </w:tr>
    </w:tbl>
    <w:p w14:paraId="547F90A2"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8A4919" w:rsidRPr="004229C1" w14:paraId="1F3CE810"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2A5FAA03"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3309EFAF" w14:textId="3EEB51F9" w:rsidR="008A4919" w:rsidRPr="004229C1" w:rsidRDefault="008A4919"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 «МІЖНАРОДНА ЮРИДИЧНА ФІРМА «АБСОЛЮТ»</w:t>
            </w:r>
          </w:p>
        </w:tc>
      </w:tr>
      <w:tr w:rsidR="008A4919" w:rsidRPr="004229C1" w14:paraId="304D7035"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7E9F7F55"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47E4D1B2" w14:textId="33BF3DE3" w:rsidR="008A4919"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78227C32" w14:textId="77777777" w:rsidTr="00C916B4">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25D6733A" w14:textId="77777777" w:rsidR="008A4919" w:rsidRPr="004229C1" w:rsidRDefault="008A4919"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2F0F46F9" w14:textId="4AB5F10D" w:rsidR="008A4919"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77B2F8EA"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E037DC7"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46FD1F9F" w14:textId="61324352" w:rsidR="008A4919" w:rsidRPr="004229C1" w:rsidRDefault="008A4919"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w:t>
            </w:r>
          </w:p>
        </w:tc>
      </w:tr>
      <w:tr w:rsidR="008A4919" w:rsidRPr="004229C1" w14:paraId="6DABE4FC"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8042744"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426311BA" w14:textId="19A80A2B" w:rsidR="008A4919" w:rsidRPr="004229C1" w:rsidRDefault="008A4919"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39329404</w:t>
            </w:r>
          </w:p>
        </w:tc>
      </w:tr>
      <w:tr w:rsidR="008A4919" w:rsidRPr="004229C1" w14:paraId="5C6EAFBE"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67C7E45"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21051E78" w14:textId="751C617F" w:rsidR="008A4919" w:rsidRPr="004229C1" w:rsidRDefault="008A4919"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м. Дніпро, </w:t>
            </w:r>
            <w:proofErr w:type="spellStart"/>
            <w:r w:rsidRPr="004229C1">
              <w:rPr>
                <w:rFonts w:ascii="Times New Roman" w:hAnsi="Times New Roman" w:cs="Times New Roman"/>
                <w:sz w:val="22"/>
                <w:szCs w:val="22"/>
                <w:lang w:val="uk-UA"/>
              </w:rPr>
              <w:t>бул</w:t>
            </w:r>
            <w:proofErr w:type="spellEnd"/>
            <w:r w:rsidRPr="004229C1">
              <w:rPr>
                <w:rFonts w:ascii="Times New Roman" w:hAnsi="Times New Roman" w:cs="Times New Roman"/>
                <w:sz w:val="22"/>
                <w:szCs w:val="22"/>
                <w:lang w:val="uk-UA"/>
              </w:rPr>
              <w:t>. Катеринославський, буд. 2, оф. 610</w:t>
            </w:r>
          </w:p>
        </w:tc>
      </w:tr>
      <w:tr w:rsidR="008A4919" w:rsidRPr="004229C1" w14:paraId="54C1BD23"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D58F72C"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790F2314" w14:textId="69D0B80F" w:rsidR="008A4919"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7EF36DFD"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2781BFC2"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37A6395D" w14:textId="0731F6D6" w:rsidR="008A4919"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0D8E27B7"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BCF6E81"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3FCF44C6" w14:textId="22D72BFD" w:rsidR="008A4919"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8A4919" w:rsidRPr="004229C1" w14:paraId="759DC394"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1964B68"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1DD7A9E7" w14:textId="7B6CA0AD" w:rsidR="008A4919" w:rsidRPr="004229C1" w:rsidRDefault="008A4919"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+38 (056) 732 38 70</w:t>
            </w:r>
          </w:p>
        </w:tc>
      </w:tr>
      <w:tr w:rsidR="008A4919" w:rsidRPr="004229C1" w14:paraId="2E7C9701" w14:textId="77777777" w:rsidTr="00C916B4">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4064FB9A"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7D152014" w14:textId="75777B63" w:rsidR="008A4919"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69.10 - Діяльність у сфері права (основний)</w:t>
            </w:r>
          </w:p>
        </w:tc>
      </w:tr>
      <w:tr w:rsidR="008A4919" w:rsidRPr="004229C1" w14:paraId="3BA3E42F"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7CB9BF07" w14:textId="77777777" w:rsidR="008A4919" w:rsidRPr="004229C1" w:rsidRDefault="008A4919" w:rsidP="008A4919">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3B841356" w14:textId="77777777"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69.10 - Діяльність у сфері права (основний)</w:t>
            </w:r>
          </w:p>
          <w:p w14:paraId="54E6AFFE" w14:textId="30FC07FA"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46.90 - Неспеціалізована оптова торгівля</w:t>
            </w:r>
          </w:p>
          <w:p w14:paraId="30FA96BD" w14:textId="4FCADE22"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66.30 - Управління фондами</w:t>
            </w:r>
          </w:p>
          <w:p w14:paraId="1875A6FB" w14:textId="34B88FCD"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68.10 - Купівля та продаж власного нерухомого майна</w:t>
            </w:r>
          </w:p>
          <w:p w14:paraId="7493A83F" w14:textId="27716FF5"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68.20 - Надання в оренду й експлуатацію власного чи орендованого нерухомого майна</w:t>
            </w:r>
          </w:p>
          <w:p w14:paraId="2713BF70" w14:textId="5FAA7A83" w:rsidR="008A4919"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70.22 - Консультування з питань комерційної діяльності й керування</w:t>
            </w:r>
          </w:p>
        </w:tc>
      </w:tr>
    </w:tbl>
    <w:p w14:paraId="70A898EE" w14:textId="77777777" w:rsidR="008A4919" w:rsidRPr="004229C1" w:rsidRDefault="008A4919">
      <w:pPr>
        <w:widowControl w:val="0"/>
        <w:autoSpaceDE w:val="0"/>
        <w:autoSpaceDN w:val="0"/>
        <w:adjustRightInd w:val="0"/>
        <w:spacing w:after="0" w:line="240" w:lineRule="auto"/>
        <w:rPr>
          <w:rFonts w:ascii="Times New Roman" w:hAnsi="Times New Roman" w:cs="Times New Roman"/>
          <w:kern w:val="0"/>
          <w:sz w:val="22"/>
          <w:szCs w:val="22"/>
          <w:lang w:val="uk-UA"/>
        </w:rPr>
      </w:pPr>
    </w:p>
    <w:p w14:paraId="68E07B9C" w14:textId="77777777" w:rsidR="00D50432" w:rsidRPr="004229C1" w:rsidRDefault="00D50432">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D50432" w:rsidRPr="004229C1" w14:paraId="34A67A85" w14:textId="77777777" w:rsidTr="00E35F0D">
        <w:trPr>
          <w:trHeight w:val="621"/>
        </w:trPr>
        <w:tc>
          <w:tcPr>
            <w:tcW w:w="5866" w:type="dxa"/>
            <w:tcBorders>
              <w:top w:val="single" w:sz="6" w:space="0" w:color="000000"/>
              <w:left w:val="single" w:sz="6" w:space="0" w:color="000000"/>
              <w:bottom w:val="single" w:sz="6" w:space="0" w:color="000000"/>
              <w:right w:val="single" w:sz="6" w:space="0" w:color="000000"/>
            </w:tcBorders>
            <w:hideMark/>
          </w:tcPr>
          <w:p w14:paraId="23D73BD6"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131F5903" w14:textId="2377519D"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bCs/>
                <w:sz w:val="22"/>
                <w:szCs w:val="22"/>
                <w:lang w:val="uk-UA"/>
              </w:rPr>
              <w:t>Товариство з обмеженою відповідальністю «ЮРИДИЧНЕ БЮРО «МАКСИМУМ»</w:t>
            </w:r>
          </w:p>
        </w:tc>
      </w:tr>
      <w:tr w:rsidR="00D50432" w:rsidRPr="004229C1" w14:paraId="644D8AAB"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71B6FD28"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141AD441" w14:textId="6B45C995"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1AF9B773" w14:textId="77777777" w:rsidTr="00C916B4">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0DCD9FC9"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24779772" w14:textId="6F534D7D"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06D15421"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8FF71BE"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7ABB8459" w14:textId="00E629C3"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w:t>
            </w:r>
          </w:p>
        </w:tc>
      </w:tr>
      <w:tr w:rsidR="00D50432" w:rsidRPr="004229C1" w14:paraId="69D83C1E"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7952AF7"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209E0951" w14:textId="68ECB264"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color w:val="000000"/>
                <w:sz w:val="22"/>
                <w:szCs w:val="22"/>
                <w:lang w:val="uk-UA"/>
              </w:rPr>
              <w:t>39886425</w:t>
            </w:r>
          </w:p>
        </w:tc>
      </w:tr>
      <w:tr w:rsidR="00D50432" w:rsidRPr="004229C1" w14:paraId="1AC5F64E"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278746FB"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09F15CD3" w14:textId="77777777" w:rsidR="00D50432" w:rsidRPr="004229C1" w:rsidRDefault="00D50432" w:rsidP="003F24B3">
            <w:pPr>
              <w:spacing w:after="0"/>
              <w:jc w:val="center"/>
              <w:rPr>
                <w:rFonts w:ascii="Times New Roman" w:hAnsi="Times New Roman" w:cs="Times New Roman"/>
                <w:color w:val="000000"/>
                <w:sz w:val="22"/>
                <w:szCs w:val="22"/>
                <w:lang w:val="uk-UA"/>
              </w:rPr>
            </w:pPr>
            <w:r w:rsidRPr="004229C1">
              <w:rPr>
                <w:rFonts w:ascii="Times New Roman" w:hAnsi="Times New Roman" w:cs="Times New Roman"/>
                <w:color w:val="000000"/>
                <w:sz w:val="22"/>
                <w:szCs w:val="22"/>
                <w:lang w:val="uk-UA"/>
              </w:rPr>
              <w:t>м. Київ,</w:t>
            </w:r>
          </w:p>
          <w:p w14:paraId="0B82B67D" w14:textId="77777777" w:rsidR="00D50432" w:rsidRPr="004229C1" w:rsidRDefault="00D50432" w:rsidP="003F24B3">
            <w:pPr>
              <w:spacing w:after="0"/>
              <w:jc w:val="center"/>
              <w:rPr>
                <w:rFonts w:ascii="Times New Roman" w:hAnsi="Times New Roman" w:cs="Times New Roman"/>
                <w:color w:val="000000"/>
                <w:sz w:val="22"/>
                <w:szCs w:val="22"/>
                <w:lang w:val="uk-UA"/>
              </w:rPr>
            </w:pPr>
            <w:r w:rsidRPr="004229C1">
              <w:rPr>
                <w:rFonts w:ascii="Times New Roman" w:hAnsi="Times New Roman" w:cs="Times New Roman"/>
                <w:color w:val="000000"/>
                <w:sz w:val="22"/>
                <w:szCs w:val="22"/>
                <w:lang w:val="uk-UA"/>
              </w:rPr>
              <w:t xml:space="preserve">вул. </w:t>
            </w:r>
            <w:proofErr w:type="spellStart"/>
            <w:r w:rsidRPr="004229C1">
              <w:rPr>
                <w:rFonts w:ascii="Times New Roman" w:hAnsi="Times New Roman" w:cs="Times New Roman"/>
                <w:color w:val="000000"/>
                <w:sz w:val="22"/>
                <w:szCs w:val="22"/>
                <w:lang w:val="uk-UA"/>
              </w:rPr>
              <w:t>Старонаводницька</w:t>
            </w:r>
            <w:proofErr w:type="spellEnd"/>
            <w:r w:rsidRPr="004229C1">
              <w:rPr>
                <w:rFonts w:ascii="Times New Roman" w:hAnsi="Times New Roman" w:cs="Times New Roman"/>
                <w:color w:val="000000"/>
                <w:sz w:val="22"/>
                <w:szCs w:val="22"/>
                <w:lang w:val="uk-UA"/>
              </w:rPr>
              <w:t>, буд.13-А, оф.44</w:t>
            </w:r>
          </w:p>
          <w:p w14:paraId="0BBADD3C" w14:textId="5B849FC0"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D50432" w:rsidRPr="004229C1" w14:paraId="68773438"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786C7F5"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48B1CFA1" w14:textId="10427D55"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779390E4"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01B354A"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6ED835C4" w14:textId="61CED1A3"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6C66A39A"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32A8239"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40D2A73D" w14:textId="564D370D"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05C5B9BF"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89F3FFC"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506675E5" w14:textId="6C674E89"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+38 (067) 635 19 84</w:t>
            </w:r>
          </w:p>
        </w:tc>
      </w:tr>
      <w:tr w:rsidR="00D50432" w:rsidRPr="004229C1" w14:paraId="67952CDC" w14:textId="77777777" w:rsidTr="00C916B4">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0D7388EA"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24583926" w14:textId="0208A335"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69.10 Діяльність у сфері права (основний)</w:t>
            </w:r>
          </w:p>
        </w:tc>
      </w:tr>
      <w:tr w:rsidR="00D50432" w:rsidRPr="004229C1" w14:paraId="5603A991"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60E6EDC1"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36A74712" w14:textId="77777777"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69.10 - Діяльність у сфері права (основний)</w:t>
            </w:r>
          </w:p>
          <w:p w14:paraId="4A5E4AF1" w14:textId="77777777"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63.99 - Надання інших інформаційних послуг, </w:t>
            </w:r>
            <w:proofErr w:type="spellStart"/>
            <w:r w:rsidRPr="004229C1">
              <w:rPr>
                <w:rFonts w:ascii="Times New Roman" w:hAnsi="Times New Roman" w:cs="Times New Roman"/>
                <w:sz w:val="22"/>
                <w:szCs w:val="22"/>
                <w:lang w:val="uk-UA"/>
              </w:rPr>
              <w:t>н.в.і.у</w:t>
            </w:r>
            <w:proofErr w:type="spellEnd"/>
            <w:r w:rsidRPr="004229C1">
              <w:rPr>
                <w:rFonts w:ascii="Times New Roman" w:hAnsi="Times New Roman" w:cs="Times New Roman"/>
                <w:sz w:val="22"/>
                <w:szCs w:val="22"/>
                <w:lang w:val="uk-UA"/>
              </w:rPr>
              <w:t>.</w:t>
            </w:r>
          </w:p>
          <w:p w14:paraId="1E6DCB61" w14:textId="77777777"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68.31 - Агентства нерухомості</w:t>
            </w:r>
          </w:p>
          <w:p w14:paraId="3F77123E" w14:textId="75201B2E"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70.22 - Консультування з питань комерційної діяльності й керування</w:t>
            </w:r>
          </w:p>
        </w:tc>
      </w:tr>
    </w:tbl>
    <w:p w14:paraId="73CE991A" w14:textId="77777777" w:rsidR="00D50432" w:rsidRPr="004229C1" w:rsidRDefault="00D50432">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D50432" w:rsidRPr="004229C1" w14:paraId="01F4E5FD"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440E051D"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12317C56" w14:textId="77777777" w:rsidR="00D50432" w:rsidRPr="004229C1" w:rsidRDefault="00D50432" w:rsidP="003F24B3">
            <w:pPr>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Товариство з обмеженою відповідальністю "Юридичне об'єднання</w:t>
            </w:r>
          </w:p>
          <w:p w14:paraId="68E70698" w14:textId="0F7BB3F4" w:rsidR="00D50432" w:rsidRPr="004229C1" w:rsidRDefault="00D50432"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"Дельта М"</w:t>
            </w:r>
          </w:p>
        </w:tc>
      </w:tr>
      <w:tr w:rsidR="00D50432" w:rsidRPr="004229C1" w14:paraId="704DF3F1"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B27DC8D"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3344C533" w14:textId="03A252D9"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5F144E4C" w14:textId="77777777" w:rsidTr="00C916B4">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79944A26" w14:textId="77777777" w:rsidR="00D50432" w:rsidRPr="004229C1" w:rsidRDefault="00D50432" w:rsidP="00C916B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48ED9FB2" w14:textId="0551053C" w:rsidR="00D50432" w:rsidRPr="004229C1" w:rsidRDefault="00E35F0D"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50432" w:rsidRPr="004229C1" w14:paraId="7F668018"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290CA343"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64DFF929" w14:textId="3A8BBEED"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w:t>
            </w:r>
          </w:p>
        </w:tc>
      </w:tr>
      <w:tr w:rsidR="00D50432" w:rsidRPr="004229C1" w14:paraId="31BEEF9A"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A4D0FA2"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195D7785" w14:textId="0F57F6CF"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43194392</w:t>
            </w:r>
          </w:p>
        </w:tc>
      </w:tr>
      <w:tr w:rsidR="00D50432" w:rsidRPr="004229C1" w14:paraId="2E710A75"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04FAA8F6"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457E5977" w14:textId="77777777" w:rsidR="00D50432" w:rsidRPr="004229C1" w:rsidRDefault="00D50432" w:rsidP="003F24B3">
            <w:pPr>
              <w:tabs>
                <w:tab w:val="left" w:pos="5820"/>
              </w:tabs>
              <w:adjustRightInd w:val="0"/>
              <w:spacing w:after="0"/>
              <w:jc w:val="center"/>
              <w:rPr>
                <w:rFonts w:ascii="Times New Roman" w:hAnsi="Times New Roman" w:cs="Times New Roman"/>
                <w:color w:val="000000" w:themeColor="text1"/>
                <w:sz w:val="22"/>
                <w:szCs w:val="22"/>
                <w:lang w:val="uk-UA"/>
              </w:rPr>
            </w:pPr>
            <w:r w:rsidRPr="004229C1">
              <w:rPr>
                <w:rFonts w:ascii="Times New Roman" w:hAnsi="Times New Roman" w:cs="Times New Roman"/>
                <w:color w:val="000000" w:themeColor="text1"/>
                <w:sz w:val="22"/>
                <w:szCs w:val="22"/>
                <w:lang w:val="uk-UA"/>
              </w:rPr>
              <w:t>м. Київ,</w:t>
            </w:r>
          </w:p>
          <w:p w14:paraId="1B3B05A6" w14:textId="77777777" w:rsidR="00D50432" w:rsidRPr="004229C1" w:rsidRDefault="00D50432" w:rsidP="003F24B3">
            <w:pPr>
              <w:tabs>
                <w:tab w:val="left" w:pos="5820"/>
              </w:tabs>
              <w:adjustRightInd w:val="0"/>
              <w:spacing w:after="0"/>
              <w:jc w:val="center"/>
              <w:rPr>
                <w:rFonts w:ascii="Times New Roman" w:hAnsi="Times New Roman" w:cs="Times New Roman"/>
                <w:color w:val="000000" w:themeColor="text1"/>
                <w:sz w:val="22"/>
                <w:szCs w:val="22"/>
                <w:lang w:val="uk-UA"/>
              </w:rPr>
            </w:pPr>
            <w:r w:rsidRPr="004229C1">
              <w:rPr>
                <w:rFonts w:ascii="Times New Roman" w:hAnsi="Times New Roman" w:cs="Times New Roman"/>
                <w:color w:val="000000" w:themeColor="text1"/>
                <w:sz w:val="22"/>
                <w:szCs w:val="22"/>
                <w:lang w:val="uk-UA"/>
              </w:rPr>
              <w:t>проспект Леоніда Каденюка, буд. 23</w:t>
            </w:r>
          </w:p>
          <w:p w14:paraId="0E8F670D" w14:textId="77777777"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D50432" w:rsidRPr="004229C1" w14:paraId="7C073758"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41AAEED7"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55997AC2" w14:textId="3A1884ED"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45</w:t>
            </w:r>
          </w:p>
        </w:tc>
      </w:tr>
      <w:tr w:rsidR="00D50432" w:rsidRPr="004229C1" w14:paraId="610D7832"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3BE32720"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1460CFB8" w14:textId="5933792A"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sz w:val="22"/>
                <w:szCs w:val="22"/>
                <w:lang w:val="uk-UA"/>
              </w:rPr>
              <w:t>Нацiональний</w:t>
            </w:r>
            <w:proofErr w:type="spellEnd"/>
            <w:r w:rsidRPr="004229C1">
              <w:rPr>
                <w:rFonts w:ascii="Times New Roman" w:hAnsi="Times New Roman" w:cs="Times New Roman"/>
                <w:sz w:val="22"/>
                <w:szCs w:val="22"/>
                <w:lang w:val="uk-UA"/>
              </w:rPr>
              <w:t xml:space="preserve"> банк України</w:t>
            </w:r>
          </w:p>
        </w:tc>
      </w:tr>
      <w:tr w:rsidR="00D50432" w:rsidRPr="004229C1" w14:paraId="6755F728"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5CC8F266"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240823E6" w14:textId="1B10CDEF"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18.10.2021</w:t>
            </w:r>
          </w:p>
        </w:tc>
      </w:tr>
      <w:tr w:rsidR="00D50432" w:rsidRPr="004229C1" w14:paraId="42193EF0"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67F7BA1B"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25AB9253" w14:textId="5914195A"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24" w:history="1">
              <w:r w:rsidRPr="004229C1">
                <w:rPr>
                  <w:rStyle w:val="Hyperlink"/>
                  <w:rFonts w:ascii="Times New Roman" w:hAnsi="Times New Roman" w:cs="Times New Roman"/>
                  <w:color w:val="FFFFFF"/>
                  <w:sz w:val="22"/>
                  <w:szCs w:val="22"/>
                  <w:u w:val="none"/>
                  <w:lang w:val="uk-UA"/>
                </w:rPr>
                <w:t>+</w:t>
              </w:r>
              <w:r w:rsidRPr="004229C1">
                <w:rPr>
                  <w:rStyle w:val="Hyperlink"/>
                  <w:rFonts w:ascii="Times New Roman" w:hAnsi="Times New Roman" w:cs="Times New Roman"/>
                  <w:color w:val="000000" w:themeColor="text1"/>
                  <w:sz w:val="22"/>
                  <w:szCs w:val="22"/>
                  <w:u w:val="none"/>
                  <w:lang w:val="uk-UA"/>
                </w:rPr>
                <w:t xml:space="preserve"> +38 (044) 364 23 63</w:t>
              </w:r>
            </w:hyperlink>
          </w:p>
        </w:tc>
      </w:tr>
      <w:tr w:rsidR="00D50432" w:rsidRPr="004229C1" w14:paraId="6DE04695" w14:textId="77777777" w:rsidTr="00C916B4">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5D904D49"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03F1CA08" w14:textId="2166AC36"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69.10 - Діяльність у сфері права (основний)</w:t>
            </w:r>
          </w:p>
        </w:tc>
      </w:tr>
      <w:tr w:rsidR="00D50432" w:rsidRPr="004229C1" w14:paraId="57C364D9"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5000AC60" w14:textId="77777777" w:rsidR="00D50432" w:rsidRPr="004229C1" w:rsidRDefault="00D50432" w:rsidP="00D5043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03A5E3C1" w14:textId="77777777"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69.10 - Діяльність у сфері права (основний)</w:t>
            </w:r>
          </w:p>
          <w:p w14:paraId="0E1F267A" w14:textId="5062E103"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82.91 - Діяльність агентств зі стягування платежів і бюро кредитних історій</w:t>
            </w:r>
          </w:p>
          <w:p w14:paraId="5C13D51C" w14:textId="7C5F176A"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80.30 - Проведення розслідувань</w:t>
            </w:r>
          </w:p>
          <w:p w14:paraId="7FE37540" w14:textId="671229DA"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73.20 - Дослідження кон'юнктури ринку та виявлення громадської думки</w:t>
            </w:r>
          </w:p>
          <w:p w14:paraId="54160F89" w14:textId="3EDC8336" w:rsidR="00D50432" w:rsidRPr="004229C1" w:rsidRDefault="00D50432" w:rsidP="003F24B3">
            <w:pPr>
              <w:pStyle w:val="Default"/>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70.22 - Консультування з питань комерційної діяльності й керування</w:t>
            </w:r>
          </w:p>
          <w:p w14:paraId="1CC54A62" w14:textId="6D5EDB33" w:rsidR="00D50432" w:rsidRPr="004229C1" w:rsidRDefault="00D50432" w:rsidP="00D5043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69.20 - Діяльність у сфері бухгалтерського обліку й аудиту; консультування з питань оподаткування</w:t>
            </w:r>
          </w:p>
        </w:tc>
      </w:tr>
    </w:tbl>
    <w:p w14:paraId="2DC2F2BC"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546A25" w:rsidRPr="004229C1" w14:paraId="238A521C" w14:textId="77777777" w:rsidTr="003F24B3">
        <w:trPr>
          <w:trHeight w:val="682"/>
        </w:trPr>
        <w:tc>
          <w:tcPr>
            <w:tcW w:w="5866" w:type="dxa"/>
            <w:tcBorders>
              <w:top w:val="single" w:sz="6" w:space="0" w:color="000000"/>
              <w:left w:val="single" w:sz="6" w:space="0" w:color="000000"/>
              <w:bottom w:val="single" w:sz="6" w:space="0" w:color="000000"/>
              <w:right w:val="single" w:sz="6" w:space="0" w:color="000000"/>
            </w:tcBorders>
            <w:hideMark/>
          </w:tcPr>
          <w:p w14:paraId="5AC59D8D"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4E0B535F" w14:textId="4C19216C"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color w:val="000000"/>
                <w:sz w:val="22"/>
                <w:szCs w:val="22"/>
                <w:lang w:val="uk-UA"/>
              </w:rPr>
              <w:t>ПРИВАТНЕ АКЦІОНЕРНЕ ТОВАРИСТВО «ЄВРОПЕЙСЬКИЙ СТРАХОВИЙ АЛЬЯНС»</w:t>
            </w:r>
          </w:p>
        </w:tc>
      </w:tr>
      <w:tr w:rsidR="00546A25" w:rsidRPr="004229C1" w14:paraId="628F8686"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0C7CB38C"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2700BE41" w14:textId="711083F3" w:rsidR="00546A25" w:rsidRPr="004229C1" w:rsidRDefault="00E35F0D"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546A25" w:rsidRPr="004229C1" w14:paraId="3B6210D2" w14:textId="77777777" w:rsidTr="00C916B4">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3728A463"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2D373E69" w14:textId="21A2F51E" w:rsidR="00546A25" w:rsidRPr="004229C1" w:rsidRDefault="00E35F0D"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546A25" w:rsidRPr="004229C1" w14:paraId="1A3DF950"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C2C177D"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028DF007" w14:textId="5E4D2ED5" w:rsidR="00546A25" w:rsidRPr="004229C1" w:rsidRDefault="002125AE"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Приватне акціонерне товариство</w:t>
            </w:r>
          </w:p>
        </w:tc>
      </w:tr>
      <w:tr w:rsidR="00546A25" w:rsidRPr="004229C1" w14:paraId="696F2523"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56923174"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4180133F" w14:textId="10DFDB2F"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19411125</w:t>
            </w:r>
          </w:p>
        </w:tc>
      </w:tr>
      <w:tr w:rsidR="00546A25" w:rsidRPr="004229C1" w14:paraId="2521ADEB"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67F093F7"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1BD06790" w14:textId="51BCE7A6"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03039, м. Київ, Проспект Науки, 3</w:t>
            </w:r>
          </w:p>
        </w:tc>
      </w:tr>
      <w:tr w:rsidR="00546A25" w:rsidRPr="004229C1" w14:paraId="61A12C5D"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1819E977"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351E2C95" w14:textId="30214B70"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Ліцензія № 27-0024/32288</w:t>
            </w:r>
          </w:p>
        </w:tc>
      </w:tr>
      <w:tr w:rsidR="00546A25" w:rsidRPr="004229C1" w14:paraId="480ED402" w14:textId="77777777" w:rsidTr="00C916B4">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F2FDCA0"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6A2FD517" w14:textId="0857E6C6"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Національний банк України</w:t>
            </w:r>
          </w:p>
        </w:tc>
      </w:tr>
      <w:tr w:rsidR="00546A25" w:rsidRPr="004229C1" w14:paraId="7A65F6AE" w14:textId="77777777" w:rsidTr="00C916B4">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BE825D7"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1400B680" w14:textId="7897DE10"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25.04.2024</w:t>
            </w:r>
          </w:p>
        </w:tc>
      </w:tr>
      <w:tr w:rsidR="00546A25" w:rsidRPr="004229C1" w14:paraId="04437216" w14:textId="77777777" w:rsidTr="00C916B4">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4B57B88"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3150CFDF" w14:textId="295162C0"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(044) 290 14 20; (044) 290 14 10</w:t>
            </w:r>
          </w:p>
        </w:tc>
      </w:tr>
      <w:tr w:rsidR="00546A25" w:rsidRPr="004229C1" w14:paraId="23DAC33F" w14:textId="77777777" w:rsidTr="00C916B4">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2A7C61D4"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48C6426D" w14:textId="77777777" w:rsidR="00546A25" w:rsidRPr="004229C1" w:rsidRDefault="00546A25"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Діяльність із страхування  (пряме страхування та вхідне перестрахування).</w:t>
            </w:r>
          </w:p>
          <w:p w14:paraId="78EF362C" w14:textId="77777777" w:rsidR="00546A25" w:rsidRPr="004229C1" w:rsidRDefault="00546A25"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Основний КВЕД:</w:t>
            </w:r>
          </w:p>
          <w:p w14:paraId="0BFE2961" w14:textId="77777777" w:rsidR="00546A25" w:rsidRPr="004229C1" w:rsidRDefault="00546A25"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65.12. Інші види страхування, крім страхування життя.</w:t>
            </w:r>
          </w:p>
          <w:p w14:paraId="3086173A" w14:textId="77777777" w:rsidR="00546A25" w:rsidRPr="004229C1" w:rsidRDefault="00546A25"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Інші:</w:t>
            </w:r>
          </w:p>
          <w:p w14:paraId="2335CD43" w14:textId="77777777" w:rsidR="00546A25" w:rsidRPr="004229C1" w:rsidRDefault="00546A25" w:rsidP="003F24B3">
            <w:pPr>
              <w:spacing w:after="0" w:line="240" w:lineRule="auto"/>
              <w:ind w:left="1"/>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65.20 Перестрахування</w:t>
            </w:r>
          </w:p>
          <w:p w14:paraId="621037DD" w14:textId="77777777" w:rsidR="00546A25" w:rsidRPr="004229C1" w:rsidRDefault="00546A25" w:rsidP="003F24B3">
            <w:pPr>
              <w:spacing w:after="0" w:line="240" w:lineRule="auto"/>
              <w:ind w:left="1"/>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66.22 Діяльність страхових агентів і брокерів</w:t>
            </w:r>
          </w:p>
          <w:p w14:paraId="233BFFCA" w14:textId="77777777" w:rsidR="00546A25" w:rsidRPr="004229C1" w:rsidRDefault="00546A25" w:rsidP="003F24B3">
            <w:pPr>
              <w:spacing w:after="0" w:line="240" w:lineRule="auto"/>
              <w:ind w:left="1"/>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66.29 Інша допоміжна діяльність у сфері страхування та пенсійного забезпечення</w:t>
            </w:r>
          </w:p>
          <w:p w14:paraId="00C1BF76" w14:textId="32462A01"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546A25" w:rsidRPr="004229C1" w14:paraId="7432D5EA" w14:textId="77777777" w:rsidTr="00C916B4">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1A811644" w14:textId="77777777" w:rsidR="00546A25" w:rsidRPr="004229C1" w:rsidRDefault="00546A25" w:rsidP="00546A25">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27555F62" w14:textId="3723C781" w:rsidR="00546A25" w:rsidRPr="004229C1" w:rsidRDefault="00546A25" w:rsidP="003F24B3">
            <w:pPr>
              <w:spacing w:after="0" w:line="240" w:lineRule="auto"/>
              <w:jc w:val="center"/>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 xml:space="preserve">Комплексне страхування ризиків КАСКО </w:t>
            </w:r>
            <w:r w:rsidR="008058AC" w:rsidRPr="004229C1">
              <w:rPr>
                <w:rFonts w:ascii="Times New Roman" w:eastAsia="Times New Roman" w:hAnsi="Times New Roman" w:cs="Times New Roman"/>
                <w:sz w:val="22"/>
                <w:szCs w:val="22"/>
                <w:lang w:val="uk-UA"/>
              </w:rPr>
              <w:t>пов’язаних</w:t>
            </w:r>
            <w:r w:rsidRPr="004229C1">
              <w:rPr>
                <w:rFonts w:ascii="Times New Roman" w:eastAsia="Times New Roman" w:hAnsi="Times New Roman" w:cs="Times New Roman"/>
                <w:sz w:val="22"/>
                <w:szCs w:val="22"/>
                <w:lang w:val="uk-UA"/>
              </w:rPr>
              <w:t xml:space="preserve">  з експлуатацією автотранспортних засобів Банку,</w:t>
            </w:r>
          </w:p>
          <w:p w14:paraId="113907A6" w14:textId="77777777" w:rsidR="00546A25" w:rsidRPr="004229C1" w:rsidRDefault="00546A25" w:rsidP="003F24B3">
            <w:pPr>
              <w:spacing w:after="0" w:line="240" w:lineRule="auto"/>
              <w:jc w:val="center"/>
              <w:rPr>
                <w:rFonts w:ascii="Times New Roman" w:eastAsia="Times New Roman" w:hAnsi="Times New Roman" w:cs="Times New Roman"/>
                <w:sz w:val="22"/>
                <w:szCs w:val="22"/>
                <w:lang w:val="uk-UA"/>
                <w14:ligatures w14:val="none"/>
              </w:rPr>
            </w:pPr>
            <w:r w:rsidRPr="004229C1">
              <w:rPr>
                <w:rFonts w:ascii="Times New Roman" w:eastAsia="Times New Roman" w:hAnsi="Times New Roman" w:cs="Times New Roman"/>
                <w:sz w:val="22"/>
                <w:szCs w:val="22"/>
                <w:lang w:val="uk-UA"/>
                <w14:ligatures w14:val="none"/>
              </w:rPr>
              <w:t>Обов’язкове  страхування  цивільно-правової  відповідальності власників  наземних  транспортних  засобів Банку (ОСАГО)</w:t>
            </w:r>
          </w:p>
          <w:p w14:paraId="53E72500" w14:textId="77777777" w:rsidR="00546A25" w:rsidRPr="004229C1" w:rsidRDefault="00546A25" w:rsidP="003F24B3">
            <w:pPr>
              <w:spacing w:after="0" w:line="240" w:lineRule="auto"/>
              <w:jc w:val="center"/>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14:ligatures w14:val="none"/>
              </w:rPr>
              <w:t>Добровільне страхування орендованих приміщень Банку від ризиків знищення та пошкодження, від протиправних дій третіх осіб.</w:t>
            </w:r>
          </w:p>
          <w:p w14:paraId="03BC91D2" w14:textId="7B3B2708" w:rsidR="00546A25" w:rsidRPr="004229C1" w:rsidRDefault="00546A25" w:rsidP="00546A25">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bl>
    <w:p w14:paraId="3B30142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F20814" w:rsidRPr="004229C1" w14:paraId="7BF3610C" w14:textId="77777777" w:rsidTr="003F24B3">
        <w:trPr>
          <w:trHeight w:val="555"/>
        </w:trPr>
        <w:tc>
          <w:tcPr>
            <w:tcW w:w="5866" w:type="dxa"/>
            <w:tcBorders>
              <w:top w:val="single" w:sz="6" w:space="0" w:color="000000"/>
              <w:left w:val="single" w:sz="6" w:space="0" w:color="000000"/>
              <w:bottom w:val="single" w:sz="6" w:space="0" w:color="000000"/>
              <w:right w:val="single" w:sz="6" w:space="0" w:color="000000"/>
            </w:tcBorders>
            <w:hideMark/>
          </w:tcPr>
          <w:p w14:paraId="02B003C3"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29E5CCD2" w14:textId="77777777"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ПрАТ «УСК «КНЯЖА ВІЄННА</w:t>
            </w:r>
          </w:p>
          <w:p w14:paraId="358CF72E" w14:textId="6FEF4F1B"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ІНШУРАНС ГРУП»</w:t>
            </w:r>
          </w:p>
        </w:tc>
      </w:tr>
      <w:tr w:rsidR="00F20814" w:rsidRPr="004229C1" w14:paraId="4C180D39"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42DF0930"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01704BC9" w14:textId="5742B1D5" w:rsidR="00F20814" w:rsidRPr="004229C1" w:rsidRDefault="00E35F0D"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F20814" w:rsidRPr="004229C1" w14:paraId="45B7BBBC" w14:textId="77777777" w:rsidTr="0066238D">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51C02E2E"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54B88449" w14:textId="34AD227A" w:rsidR="00F20814" w:rsidRPr="004229C1" w:rsidRDefault="00E35F0D"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F20814" w:rsidRPr="004229C1" w14:paraId="01E0DC4E"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4AA059F"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79A674EF" w14:textId="76E0230C"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Приватне </w:t>
            </w:r>
            <w:proofErr w:type="spellStart"/>
            <w:r w:rsidRPr="004229C1">
              <w:rPr>
                <w:rFonts w:ascii="Times New Roman" w:hAnsi="Times New Roman" w:cs="Times New Roman"/>
                <w:sz w:val="22"/>
                <w:szCs w:val="22"/>
                <w:lang w:val="uk-UA"/>
              </w:rPr>
              <w:t>акцiонерне</w:t>
            </w:r>
            <w:proofErr w:type="spellEnd"/>
            <w:r w:rsidRPr="004229C1">
              <w:rPr>
                <w:rFonts w:ascii="Times New Roman" w:hAnsi="Times New Roman" w:cs="Times New Roman"/>
                <w:sz w:val="22"/>
                <w:szCs w:val="22"/>
                <w:lang w:val="uk-UA"/>
              </w:rPr>
              <w:t xml:space="preserve"> товариство</w:t>
            </w:r>
          </w:p>
        </w:tc>
      </w:tr>
      <w:tr w:rsidR="00F20814" w:rsidRPr="004229C1" w14:paraId="15AB9AB8"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A7049F8"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30D27A53" w14:textId="0CA03407"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u w:val="single"/>
                <w:lang w:val="uk-UA"/>
              </w:rPr>
            </w:pPr>
            <w:r w:rsidRPr="004229C1">
              <w:rPr>
                <w:rFonts w:ascii="Times New Roman" w:hAnsi="Times New Roman" w:cs="Times New Roman"/>
                <w:sz w:val="22"/>
                <w:szCs w:val="22"/>
                <w:lang w:val="uk-UA"/>
              </w:rPr>
              <w:t>24175269</w:t>
            </w:r>
          </w:p>
        </w:tc>
      </w:tr>
      <w:tr w:rsidR="00F20814" w:rsidRPr="004229C1" w14:paraId="16AE641E"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735B5324"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1191852A" w14:textId="77D2AD4D"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04050, м. Київ, </w:t>
            </w:r>
            <w:proofErr w:type="spellStart"/>
            <w:r w:rsidRPr="004229C1">
              <w:rPr>
                <w:rFonts w:ascii="Times New Roman" w:hAnsi="Times New Roman" w:cs="Times New Roman"/>
                <w:sz w:val="22"/>
                <w:szCs w:val="22"/>
                <w:lang w:val="uk-UA"/>
              </w:rPr>
              <w:t>вул</w:t>
            </w:r>
            <w:proofErr w:type="spellEnd"/>
            <w:r w:rsidRPr="004229C1">
              <w:rPr>
                <w:rFonts w:ascii="Times New Roman" w:hAnsi="Times New Roman" w:cs="Times New Roman"/>
                <w:sz w:val="22"/>
                <w:szCs w:val="22"/>
                <w:lang w:val="uk-UA"/>
              </w:rPr>
              <w:t xml:space="preserve"> </w:t>
            </w:r>
            <w:proofErr w:type="spellStart"/>
            <w:r w:rsidRPr="004229C1">
              <w:rPr>
                <w:rFonts w:ascii="Times New Roman" w:hAnsi="Times New Roman" w:cs="Times New Roman"/>
                <w:sz w:val="22"/>
                <w:szCs w:val="22"/>
                <w:lang w:val="uk-UA"/>
              </w:rPr>
              <w:t>Глибочицька</w:t>
            </w:r>
            <w:proofErr w:type="spellEnd"/>
            <w:r w:rsidRPr="004229C1">
              <w:rPr>
                <w:rFonts w:ascii="Times New Roman" w:hAnsi="Times New Roman" w:cs="Times New Roman"/>
                <w:sz w:val="22"/>
                <w:szCs w:val="22"/>
                <w:lang w:val="uk-UA"/>
              </w:rPr>
              <w:t>, 44</w:t>
            </w:r>
          </w:p>
        </w:tc>
      </w:tr>
      <w:tr w:rsidR="00F20814" w:rsidRPr="004229C1" w14:paraId="7EE8E16C"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B438DCB"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480CCD90" w14:textId="77777777"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АД № 039977, виданої Національною комісією, що</w:t>
            </w:r>
          </w:p>
          <w:p w14:paraId="2E36D58B" w14:textId="5C90BA03"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здійснює державне регулювання у сфері ринків фінансових послуг 08.11.2012 року,</w:t>
            </w:r>
          </w:p>
          <w:p w14:paraId="08AB133C" w14:textId="77777777"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ліцензії АВ № 483137, виданої Національною комісією, що здійснює державне регулювання у</w:t>
            </w:r>
          </w:p>
          <w:p w14:paraId="29A375BF" w14:textId="373CE393"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сфері ринків фінансових послуг 01.10.2009.</w:t>
            </w:r>
          </w:p>
        </w:tc>
      </w:tr>
      <w:tr w:rsidR="00F20814" w:rsidRPr="004229C1" w14:paraId="065C9B7E"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71CDF8D"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7A35E6D4" w14:textId="77777777"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Національною комісією, що здійснює державне регулювання у</w:t>
            </w:r>
          </w:p>
          <w:p w14:paraId="39B8ECAE" w14:textId="00E54F8D"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сфері ринків фінансових послуг</w:t>
            </w:r>
          </w:p>
        </w:tc>
      </w:tr>
      <w:tr w:rsidR="00F20814" w:rsidRPr="004229C1" w14:paraId="76D0FC26"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29C5E0CE"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274E02DF" w14:textId="6BA6B6F1"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08.11.2012 та 01.10.2009</w:t>
            </w:r>
          </w:p>
        </w:tc>
      </w:tr>
      <w:tr w:rsidR="00F20814" w:rsidRPr="004229C1" w14:paraId="3E54FE4D"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4A664786"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hideMark/>
          </w:tcPr>
          <w:p w14:paraId="50D2B420" w14:textId="2692DAE7"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044 207 72 72</w:t>
            </w:r>
          </w:p>
        </w:tc>
      </w:tr>
      <w:tr w:rsidR="00F20814" w:rsidRPr="004229C1" w14:paraId="783F84B1" w14:textId="77777777" w:rsidTr="0066238D">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5DAC9F2C"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3C82D934" w14:textId="35F35A1E"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Основний:</w:t>
            </w:r>
          </w:p>
          <w:p w14:paraId="02D36C66" w14:textId="77777777"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65.12 Інші види страхування, крім страхування життя</w:t>
            </w:r>
          </w:p>
          <w:p w14:paraId="03F22F18" w14:textId="3061DC6D" w:rsidR="00F20814" w:rsidRPr="004229C1" w:rsidRDefault="00F20814" w:rsidP="003F24B3">
            <w:pPr>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Інші:</w:t>
            </w:r>
          </w:p>
          <w:p w14:paraId="7D055B5F" w14:textId="77777777" w:rsidR="00F20814" w:rsidRPr="004229C1" w:rsidRDefault="00F20814" w:rsidP="003F24B3">
            <w:pPr>
              <w:spacing w:after="0" w:line="240" w:lineRule="auto"/>
              <w:jc w:val="center"/>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65.20 Перестрахування</w:t>
            </w:r>
          </w:p>
          <w:p w14:paraId="518F506D" w14:textId="77777777" w:rsidR="00F20814" w:rsidRPr="004229C1" w:rsidRDefault="00F20814" w:rsidP="003F24B3">
            <w:pPr>
              <w:spacing w:after="0" w:line="240" w:lineRule="auto"/>
              <w:jc w:val="center"/>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66.22 Діяльність страхових агентів і брокерів</w:t>
            </w:r>
          </w:p>
          <w:p w14:paraId="4D4557A0" w14:textId="77777777"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F20814" w:rsidRPr="004229C1" w14:paraId="5C023B28" w14:textId="77777777" w:rsidTr="003F24B3">
        <w:trPr>
          <w:trHeight w:val="585"/>
        </w:trPr>
        <w:tc>
          <w:tcPr>
            <w:tcW w:w="5866" w:type="dxa"/>
            <w:tcBorders>
              <w:top w:val="single" w:sz="6" w:space="0" w:color="000000"/>
              <w:left w:val="single" w:sz="6" w:space="0" w:color="000000"/>
              <w:bottom w:val="single" w:sz="6" w:space="0" w:color="000000"/>
              <w:right w:val="single" w:sz="6" w:space="0" w:color="000000"/>
            </w:tcBorders>
            <w:hideMark/>
          </w:tcPr>
          <w:p w14:paraId="37D265E6" w14:textId="77777777" w:rsidR="00F20814" w:rsidRPr="004229C1" w:rsidRDefault="00F20814" w:rsidP="00F20814">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6C4CDE8A" w14:textId="5A5DBEC3" w:rsidR="00F20814" w:rsidRPr="004229C1" w:rsidRDefault="00F20814" w:rsidP="00F20814">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Добровільне медичне страхування працівникам Банку</w:t>
            </w:r>
          </w:p>
        </w:tc>
      </w:tr>
    </w:tbl>
    <w:p w14:paraId="13FE81F7" w14:textId="77777777" w:rsidR="00F20814" w:rsidRPr="004229C1" w:rsidRDefault="00F20814">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2125AE" w:rsidRPr="004229C1" w14:paraId="1B3CDC17" w14:textId="77777777" w:rsidTr="003F24B3">
        <w:trPr>
          <w:trHeight w:val="587"/>
        </w:trPr>
        <w:tc>
          <w:tcPr>
            <w:tcW w:w="5866" w:type="dxa"/>
            <w:tcBorders>
              <w:top w:val="single" w:sz="6" w:space="0" w:color="000000"/>
              <w:left w:val="single" w:sz="6" w:space="0" w:color="000000"/>
              <w:bottom w:val="single" w:sz="6" w:space="0" w:color="000000"/>
              <w:right w:val="single" w:sz="6" w:space="0" w:color="000000"/>
            </w:tcBorders>
            <w:hideMark/>
          </w:tcPr>
          <w:p w14:paraId="56F5B98A"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2A51B296" w14:textId="4A2244FA"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АКЦІОНЕРНЕ ТОВАРИСТВО «СТРАХОВА КОМПАНІЯ «ІНГО»</w:t>
            </w:r>
          </w:p>
        </w:tc>
      </w:tr>
      <w:tr w:rsidR="002125AE" w:rsidRPr="004229C1" w14:paraId="3DE46E99"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08D42FA8"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4F34F694" w14:textId="5BACE39C" w:rsidR="002125AE" w:rsidRPr="004229C1" w:rsidRDefault="00E35F0D"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2125AE" w:rsidRPr="004229C1" w14:paraId="098AE80A" w14:textId="77777777" w:rsidTr="0066238D">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7F73AD75"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13D26575" w14:textId="12A4CC6A" w:rsidR="002125AE" w:rsidRPr="004229C1" w:rsidRDefault="00E35F0D"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2125AE" w:rsidRPr="004229C1" w14:paraId="4C3C471F"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30F47364"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2CFBA02A" w14:textId="40BAB983"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Акцiонерне</w:t>
            </w:r>
            <w:proofErr w:type="spellEnd"/>
            <w:r w:rsidRPr="004229C1">
              <w:rPr>
                <w:rFonts w:ascii="Times New Roman" w:hAnsi="Times New Roman" w:cs="Times New Roman"/>
                <w:kern w:val="0"/>
                <w:sz w:val="22"/>
                <w:szCs w:val="22"/>
                <w:lang w:val="uk-UA"/>
              </w:rPr>
              <w:t xml:space="preserve"> товариство</w:t>
            </w:r>
          </w:p>
        </w:tc>
      </w:tr>
      <w:tr w:rsidR="002125AE" w:rsidRPr="004229C1" w14:paraId="61FD9290"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3F813E43"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5C3E6D8D" w14:textId="3F01E70C"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16285602</w:t>
            </w:r>
          </w:p>
        </w:tc>
      </w:tr>
      <w:tr w:rsidR="002125AE" w:rsidRPr="004229C1" w14:paraId="63075BDB"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57EC7E12"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26AD57A0" w14:textId="7118B059"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Україна, 01054, м. Київ-54, вул. </w:t>
            </w:r>
            <w:proofErr w:type="spellStart"/>
            <w:r w:rsidRPr="004229C1">
              <w:rPr>
                <w:rFonts w:ascii="Times New Roman" w:hAnsi="Times New Roman" w:cs="Times New Roman"/>
                <w:kern w:val="0"/>
                <w:sz w:val="22"/>
                <w:szCs w:val="22"/>
                <w:lang w:val="uk-UA"/>
              </w:rPr>
              <w:t>Бульварно-Кудрявська</w:t>
            </w:r>
            <w:proofErr w:type="spellEnd"/>
            <w:r w:rsidRPr="004229C1">
              <w:rPr>
                <w:rFonts w:ascii="Times New Roman" w:hAnsi="Times New Roman" w:cs="Times New Roman"/>
                <w:kern w:val="0"/>
                <w:sz w:val="22"/>
                <w:szCs w:val="22"/>
                <w:lang w:val="uk-UA"/>
              </w:rPr>
              <w:t>, 33</w:t>
            </w:r>
          </w:p>
        </w:tc>
      </w:tr>
      <w:tr w:rsidR="002125AE" w:rsidRPr="004229C1" w14:paraId="425D26FB"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2C5BCC62"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05C06E89" w14:textId="0B0C86F7"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ліцензія № АВ 546588 від 16.07.2010 р. на медичне </w:t>
            </w:r>
            <w:proofErr w:type="spellStart"/>
            <w:r w:rsidRPr="004229C1">
              <w:rPr>
                <w:rFonts w:ascii="Times New Roman" w:hAnsi="Times New Roman" w:cs="Times New Roman"/>
                <w:kern w:val="0"/>
                <w:sz w:val="22"/>
                <w:szCs w:val="22"/>
                <w:lang w:val="uk-UA"/>
              </w:rPr>
              <w:t>страхованная</w:t>
            </w:r>
            <w:proofErr w:type="spellEnd"/>
            <w:r w:rsidRPr="004229C1">
              <w:rPr>
                <w:rFonts w:ascii="Times New Roman" w:hAnsi="Times New Roman" w:cs="Times New Roman"/>
                <w:kern w:val="0"/>
                <w:sz w:val="22"/>
                <w:szCs w:val="22"/>
                <w:lang w:val="uk-UA"/>
              </w:rPr>
              <w:t xml:space="preserve"> (безперервне страхування здоров'я) та № АВ 546587 від 16.07.2010 р. на добровільне страхування медичних витрат</w:t>
            </w:r>
          </w:p>
        </w:tc>
      </w:tr>
      <w:tr w:rsidR="002125AE" w:rsidRPr="004229C1" w14:paraId="70869A94"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0AAD4148"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378E7E0D" w14:textId="31AC3BF9"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Національною комісією, що здійснює державне регулювання у сфері ринків фінансових послуг</w:t>
            </w:r>
          </w:p>
        </w:tc>
      </w:tr>
      <w:tr w:rsidR="002125AE" w:rsidRPr="004229C1" w14:paraId="18E6FE0F"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6E50225"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4A903250" w14:textId="213BF4C1"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16.07.2010</w:t>
            </w:r>
          </w:p>
        </w:tc>
      </w:tr>
      <w:tr w:rsidR="002125AE" w:rsidRPr="004229C1" w14:paraId="6075D07B" w14:textId="77777777" w:rsidTr="003F24B3">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70AD3480"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tcPr>
          <w:p w14:paraId="3FC41566" w14:textId="19204047"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044 490-27-44</w:t>
            </w:r>
          </w:p>
        </w:tc>
      </w:tr>
      <w:tr w:rsidR="002125AE" w:rsidRPr="004229C1" w14:paraId="3FF183E5" w14:textId="77777777" w:rsidTr="0066238D">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22CBE423"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054E9F4A" w14:textId="074DB211" w:rsidR="002125AE" w:rsidRPr="004229C1" w:rsidRDefault="002125AE" w:rsidP="003F24B3">
            <w:pPr>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Основний:</w:t>
            </w:r>
          </w:p>
          <w:p w14:paraId="344195E7" w14:textId="77777777" w:rsidR="002125AE" w:rsidRPr="004229C1" w:rsidRDefault="002125AE" w:rsidP="003F24B3">
            <w:pPr>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65.12 Інші види страхування, крім страхування життя</w:t>
            </w:r>
            <w:r w:rsidRPr="004229C1">
              <w:rPr>
                <w:rFonts w:ascii="Times New Roman" w:hAnsi="Times New Roman" w:cs="Times New Roman"/>
                <w:kern w:val="0"/>
                <w:sz w:val="22"/>
                <w:szCs w:val="22"/>
                <w:lang w:val="uk-UA"/>
              </w:rPr>
              <w:br/>
              <w:t>Інші:</w:t>
            </w:r>
          </w:p>
          <w:p w14:paraId="5320855A" w14:textId="77777777" w:rsidR="002125AE" w:rsidRPr="004229C1" w:rsidRDefault="002125AE" w:rsidP="003F24B3">
            <w:pPr>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65.20 Перестрахування</w:t>
            </w:r>
          </w:p>
          <w:p w14:paraId="21A89DA5" w14:textId="77777777" w:rsidR="002125AE" w:rsidRPr="004229C1" w:rsidRDefault="002125AE" w:rsidP="003F24B3">
            <w:pPr>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66.29 Інша допоміжна діяльність у сфері страхування та пенсійного забезпечення</w:t>
            </w:r>
          </w:p>
          <w:p w14:paraId="3B4778C9" w14:textId="5CB49583"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68.20 Надання в оренду й експлуатацію власного чи орендованого нерухомого майна</w:t>
            </w:r>
          </w:p>
        </w:tc>
      </w:tr>
      <w:tr w:rsidR="002125AE" w:rsidRPr="004229C1" w14:paraId="49D2BCD1" w14:textId="77777777" w:rsidTr="0066238D">
        <w:trPr>
          <w:trHeight w:val="1012"/>
        </w:trPr>
        <w:tc>
          <w:tcPr>
            <w:tcW w:w="5866" w:type="dxa"/>
            <w:tcBorders>
              <w:top w:val="single" w:sz="6" w:space="0" w:color="000000"/>
              <w:left w:val="single" w:sz="6" w:space="0" w:color="000000"/>
              <w:bottom w:val="single" w:sz="6" w:space="0" w:color="000000"/>
              <w:right w:val="single" w:sz="6" w:space="0" w:color="000000"/>
            </w:tcBorders>
            <w:hideMark/>
          </w:tcPr>
          <w:p w14:paraId="2F5DCFF8" w14:textId="77777777" w:rsidR="002125AE" w:rsidRPr="004229C1" w:rsidRDefault="002125AE" w:rsidP="002125AE">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3D002686" w14:textId="4AB4F6C3" w:rsidR="002125AE" w:rsidRPr="004229C1" w:rsidRDefault="002125AE" w:rsidP="002125AE">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 xml:space="preserve">добровільне </w:t>
            </w:r>
            <w:proofErr w:type="spellStart"/>
            <w:r w:rsidRPr="004229C1">
              <w:rPr>
                <w:rFonts w:ascii="Times New Roman" w:hAnsi="Times New Roman" w:cs="Times New Roman"/>
                <w:sz w:val="22"/>
                <w:szCs w:val="22"/>
                <w:lang w:val="uk-UA"/>
              </w:rPr>
              <w:t>медичное</w:t>
            </w:r>
            <w:proofErr w:type="spellEnd"/>
            <w:r w:rsidRPr="004229C1">
              <w:rPr>
                <w:rFonts w:ascii="Times New Roman" w:hAnsi="Times New Roman" w:cs="Times New Roman"/>
                <w:sz w:val="22"/>
                <w:szCs w:val="22"/>
                <w:lang w:val="uk-UA"/>
              </w:rPr>
              <w:t xml:space="preserve"> страхування працівників Банку від критичних захворювань</w:t>
            </w:r>
          </w:p>
        </w:tc>
      </w:tr>
    </w:tbl>
    <w:p w14:paraId="192237D3" w14:textId="77777777" w:rsidR="000B6F6B" w:rsidRPr="004229C1" w:rsidRDefault="000B6F6B">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66"/>
        <w:gridCol w:w="4136"/>
      </w:tblGrid>
      <w:tr w:rsidR="000B6F6B" w:rsidRPr="004229C1" w14:paraId="12FF1F5D" w14:textId="77777777" w:rsidTr="003F24B3">
        <w:trPr>
          <w:trHeight w:val="493"/>
        </w:trPr>
        <w:tc>
          <w:tcPr>
            <w:tcW w:w="5866" w:type="dxa"/>
            <w:tcBorders>
              <w:top w:val="single" w:sz="6" w:space="0" w:color="000000"/>
              <w:left w:val="single" w:sz="6" w:space="0" w:color="000000"/>
              <w:bottom w:val="single" w:sz="6" w:space="0" w:color="000000"/>
              <w:right w:val="single" w:sz="6" w:space="0" w:color="000000"/>
            </w:tcBorders>
            <w:hideMark/>
          </w:tcPr>
          <w:p w14:paraId="1540143C"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w:t>
            </w:r>
          </w:p>
        </w:tc>
        <w:tc>
          <w:tcPr>
            <w:tcW w:w="4136" w:type="dxa"/>
            <w:tcBorders>
              <w:top w:val="single" w:sz="6" w:space="0" w:color="000000"/>
              <w:left w:val="single" w:sz="6" w:space="0" w:color="000000"/>
              <w:bottom w:val="single" w:sz="6" w:space="0" w:color="000000"/>
              <w:right w:val="single" w:sz="6" w:space="0" w:color="000000"/>
            </w:tcBorders>
            <w:hideMark/>
          </w:tcPr>
          <w:p w14:paraId="5654EC6E" w14:textId="20D56ABC"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 «ВАЛКОЛ»</w:t>
            </w:r>
          </w:p>
        </w:tc>
      </w:tr>
      <w:tr w:rsidR="000B6F6B" w:rsidRPr="004229C1" w14:paraId="17FC714F"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6062FFBC"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136" w:type="dxa"/>
            <w:tcBorders>
              <w:top w:val="single" w:sz="6" w:space="0" w:color="000000"/>
              <w:left w:val="single" w:sz="6" w:space="0" w:color="000000"/>
              <w:bottom w:val="single" w:sz="6" w:space="0" w:color="000000"/>
              <w:right w:val="single" w:sz="6" w:space="0" w:color="000000"/>
            </w:tcBorders>
          </w:tcPr>
          <w:p w14:paraId="50F9BE0A" w14:textId="1E305642" w:rsidR="000B6F6B" w:rsidRPr="004229C1" w:rsidRDefault="00E35F0D"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B6F6B" w:rsidRPr="004229C1" w14:paraId="665F3138" w14:textId="77777777" w:rsidTr="0066238D">
        <w:trPr>
          <w:trHeight w:val="254"/>
        </w:trPr>
        <w:tc>
          <w:tcPr>
            <w:tcW w:w="5866" w:type="dxa"/>
            <w:tcBorders>
              <w:top w:val="single" w:sz="6" w:space="0" w:color="000000"/>
              <w:left w:val="single" w:sz="6" w:space="0" w:color="000000"/>
              <w:bottom w:val="single" w:sz="6" w:space="0" w:color="000000"/>
              <w:right w:val="single" w:sz="6" w:space="0" w:color="000000"/>
            </w:tcBorders>
            <w:hideMark/>
          </w:tcPr>
          <w:p w14:paraId="4A9397D9"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136" w:type="dxa"/>
            <w:tcBorders>
              <w:top w:val="single" w:sz="6" w:space="0" w:color="000000"/>
              <w:left w:val="single" w:sz="6" w:space="0" w:color="000000"/>
              <w:bottom w:val="single" w:sz="6" w:space="0" w:color="000000"/>
              <w:right w:val="single" w:sz="6" w:space="0" w:color="000000"/>
            </w:tcBorders>
          </w:tcPr>
          <w:p w14:paraId="1B3549DC" w14:textId="3F69DF6B" w:rsidR="000B6F6B" w:rsidRPr="004229C1" w:rsidRDefault="00E35F0D"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0B6F6B" w:rsidRPr="004229C1" w14:paraId="04324FD4"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6CF0294D"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136" w:type="dxa"/>
            <w:tcBorders>
              <w:top w:val="single" w:sz="6" w:space="0" w:color="000000"/>
              <w:left w:val="single" w:sz="6" w:space="0" w:color="000000"/>
              <w:bottom w:val="single" w:sz="6" w:space="0" w:color="000000"/>
              <w:right w:val="single" w:sz="6" w:space="0" w:color="000000"/>
            </w:tcBorders>
            <w:hideMark/>
          </w:tcPr>
          <w:p w14:paraId="546D67C2" w14:textId="41E6DEB0"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Товариство з обмеженою відповідальністю</w:t>
            </w:r>
          </w:p>
        </w:tc>
      </w:tr>
      <w:tr w:rsidR="000B6F6B" w:rsidRPr="004229C1" w14:paraId="3953E3E8"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192D1D08"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136" w:type="dxa"/>
            <w:tcBorders>
              <w:top w:val="single" w:sz="6" w:space="0" w:color="000000"/>
              <w:left w:val="single" w:sz="6" w:space="0" w:color="000000"/>
              <w:bottom w:val="single" w:sz="6" w:space="0" w:color="000000"/>
              <w:right w:val="single" w:sz="6" w:space="0" w:color="000000"/>
            </w:tcBorders>
            <w:hideMark/>
          </w:tcPr>
          <w:p w14:paraId="72BF8B67" w14:textId="1E8615E5"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13819807</w:t>
            </w:r>
          </w:p>
        </w:tc>
      </w:tr>
      <w:tr w:rsidR="000B6F6B" w:rsidRPr="004229C1" w14:paraId="50A94FB6"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625B0DED"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136" w:type="dxa"/>
            <w:tcBorders>
              <w:top w:val="single" w:sz="6" w:space="0" w:color="000000"/>
              <w:left w:val="single" w:sz="6" w:space="0" w:color="000000"/>
              <w:bottom w:val="single" w:sz="6" w:space="0" w:color="000000"/>
              <w:right w:val="single" w:sz="6" w:space="0" w:color="000000"/>
            </w:tcBorders>
            <w:hideMark/>
          </w:tcPr>
          <w:p w14:paraId="5A322459" w14:textId="1A406D41"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04053, м. Київ, вул. Січових Стрільців, 57</w:t>
            </w:r>
          </w:p>
        </w:tc>
      </w:tr>
      <w:tr w:rsidR="000B6F6B" w:rsidRPr="004229C1" w14:paraId="62EA2FAF"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0A63C9BE"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136" w:type="dxa"/>
            <w:tcBorders>
              <w:top w:val="single" w:sz="6" w:space="0" w:color="000000"/>
              <w:left w:val="single" w:sz="6" w:space="0" w:color="000000"/>
              <w:bottom w:val="single" w:sz="6" w:space="0" w:color="000000"/>
              <w:right w:val="single" w:sz="6" w:space="0" w:color="000000"/>
            </w:tcBorders>
            <w:hideMark/>
          </w:tcPr>
          <w:p w14:paraId="313F4296" w14:textId="54212F99"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Сертифікат СОД 321\2022</w:t>
            </w:r>
          </w:p>
        </w:tc>
      </w:tr>
      <w:tr w:rsidR="000B6F6B" w:rsidRPr="004229C1" w14:paraId="19160855" w14:textId="77777777" w:rsidTr="0066238D">
        <w:trPr>
          <w:trHeight w:val="505"/>
        </w:trPr>
        <w:tc>
          <w:tcPr>
            <w:tcW w:w="5866" w:type="dxa"/>
            <w:tcBorders>
              <w:top w:val="single" w:sz="6" w:space="0" w:color="000000"/>
              <w:left w:val="single" w:sz="6" w:space="0" w:color="000000"/>
              <w:bottom w:val="single" w:sz="6" w:space="0" w:color="000000"/>
              <w:right w:val="single" w:sz="6" w:space="0" w:color="000000"/>
            </w:tcBorders>
            <w:hideMark/>
          </w:tcPr>
          <w:p w14:paraId="4D343972"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136" w:type="dxa"/>
            <w:tcBorders>
              <w:top w:val="single" w:sz="6" w:space="0" w:color="000000"/>
              <w:left w:val="single" w:sz="6" w:space="0" w:color="000000"/>
              <w:bottom w:val="single" w:sz="6" w:space="0" w:color="000000"/>
              <w:right w:val="single" w:sz="6" w:space="0" w:color="000000"/>
            </w:tcBorders>
            <w:hideMark/>
          </w:tcPr>
          <w:p w14:paraId="678CA154" w14:textId="2604C76B"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ФДМ України</w:t>
            </w:r>
          </w:p>
        </w:tc>
      </w:tr>
      <w:tr w:rsidR="000B6F6B" w:rsidRPr="004229C1" w14:paraId="7E5BBF72" w14:textId="77777777" w:rsidTr="0066238D">
        <w:trPr>
          <w:trHeight w:val="251"/>
        </w:trPr>
        <w:tc>
          <w:tcPr>
            <w:tcW w:w="5866" w:type="dxa"/>
            <w:tcBorders>
              <w:top w:val="single" w:sz="6" w:space="0" w:color="000000"/>
              <w:left w:val="single" w:sz="6" w:space="0" w:color="000000"/>
              <w:bottom w:val="single" w:sz="6" w:space="0" w:color="000000"/>
              <w:right w:val="single" w:sz="6" w:space="0" w:color="000000"/>
            </w:tcBorders>
            <w:hideMark/>
          </w:tcPr>
          <w:p w14:paraId="7D4A5F2B"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136" w:type="dxa"/>
            <w:tcBorders>
              <w:top w:val="single" w:sz="6" w:space="0" w:color="000000"/>
              <w:left w:val="single" w:sz="6" w:space="0" w:color="000000"/>
              <w:bottom w:val="single" w:sz="6" w:space="0" w:color="000000"/>
              <w:right w:val="single" w:sz="6" w:space="0" w:color="000000"/>
            </w:tcBorders>
            <w:hideMark/>
          </w:tcPr>
          <w:p w14:paraId="293200F7" w14:textId="12F26970"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04.07.2022</w:t>
            </w:r>
          </w:p>
        </w:tc>
      </w:tr>
      <w:tr w:rsidR="000B6F6B" w:rsidRPr="004229C1" w14:paraId="5C92ADF0" w14:textId="77777777" w:rsidTr="0066238D">
        <w:trPr>
          <w:trHeight w:val="253"/>
        </w:trPr>
        <w:tc>
          <w:tcPr>
            <w:tcW w:w="5866" w:type="dxa"/>
            <w:tcBorders>
              <w:top w:val="single" w:sz="6" w:space="0" w:color="000000"/>
              <w:left w:val="single" w:sz="6" w:space="0" w:color="000000"/>
              <w:bottom w:val="single" w:sz="6" w:space="0" w:color="000000"/>
              <w:right w:val="single" w:sz="6" w:space="0" w:color="000000"/>
            </w:tcBorders>
            <w:hideMark/>
          </w:tcPr>
          <w:p w14:paraId="20CC6FB4"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Міжміський код та телефон</w:t>
            </w:r>
          </w:p>
        </w:tc>
        <w:tc>
          <w:tcPr>
            <w:tcW w:w="4136" w:type="dxa"/>
            <w:tcBorders>
              <w:top w:val="single" w:sz="6" w:space="0" w:color="000000"/>
              <w:left w:val="single" w:sz="6" w:space="0" w:color="000000"/>
              <w:bottom w:val="single" w:sz="6" w:space="0" w:color="000000"/>
              <w:right w:val="single" w:sz="6" w:space="0" w:color="000000"/>
            </w:tcBorders>
          </w:tcPr>
          <w:p w14:paraId="5DE60675" w14:textId="4C9D1EC3"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(073) 80 10 880, (096) 80 10 880</w:t>
            </w:r>
          </w:p>
        </w:tc>
      </w:tr>
      <w:tr w:rsidR="000B6F6B" w:rsidRPr="004229C1" w14:paraId="36352B80" w14:textId="77777777" w:rsidTr="0066238D">
        <w:trPr>
          <w:trHeight w:val="836"/>
        </w:trPr>
        <w:tc>
          <w:tcPr>
            <w:tcW w:w="5866" w:type="dxa"/>
            <w:tcBorders>
              <w:top w:val="single" w:sz="6" w:space="0" w:color="000000"/>
              <w:left w:val="single" w:sz="6" w:space="0" w:color="000000"/>
              <w:bottom w:val="single" w:sz="6" w:space="0" w:color="000000"/>
              <w:right w:val="single" w:sz="6" w:space="0" w:color="000000"/>
            </w:tcBorders>
            <w:hideMark/>
          </w:tcPr>
          <w:p w14:paraId="0227BE90"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136" w:type="dxa"/>
            <w:tcBorders>
              <w:top w:val="single" w:sz="6" w:space="0" w:color="000000"/>
              <w:left w:val="single" w:sz="6" w:space="0" w:color="000000"/>
              <w:bottom w:val="single" w:sz="6" w:space="0" w:color="000000"/>
              <w:right w:val="single" w:sz="6" w:space="0" w:color="000000"/>
            </w:tcBorders>
            <w:hideMark/>
          </w:tcPr>
          <w:p w14:paraId="10981A49" w14:textId="6A167719"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68.31 Агентства нерухомості (основний); 68.10 Купівля та продаж власного нерухомого майна; 68.20 Надання в оренду й експлуатацію власного чи орендованого нерухомого майна; 73.20 Дослідження кон’юнктури ринку та виявлення громадської думки</w:t>
            </w:r>
          </w:p>
        </w:tc>
      </w:tr>
      <w:tr w:rsidR="000B6F6B" w:rsidRPr="004229C1" w14:paraId="2620CBC7" w14:textId="77777777" w:rsidTr="00E35F0D">
        <w:trPr>
          <w:trHeight w:val="612"/>
        </w:trPr>
        <w:tc>
          <w:tcPr>
            <w:tcW w:w="5866" w:type="dxa"/>
            <w:tcBorders>
              <w:top w:val="single" w:sz="6" w:space="0" w:color="000000"/>
              <w:left w:val="single" w:sz="6" w:space="0" w:color="000000"/>
              <w:bottom w:val="single" w:sz="6" w:space="0" w:color="000000"/>
              <w:right w:val="single" w:sz="6" w:space="0" w:color="000000"/>
            </w:tcBorders>
            <w:hideMark/>
          </w:tcPr>
          <w:p w14:paraId="30D2A431" w14:textId="77777777" w:rsidR="000B6F6B" w:rsidRPr="004229C1" w:rsidRDefault="000B6F6B" w:rsidP="000B6F6B">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136" w:type="dxa"/>
            <w:tcBorders>
              <w:top w:val="single" w:sz="6" w:space="0" w:color="000000"/>
              <w:left w:val="single" w:sz="6" w:space="0" w:color="000000"/>
              <w:bottom w:val="single" w:sz="6" w:space="0" w:color="000000"/>
              <w:right w:val="single" w:sz="6" w:space="0" w:color="000000"/>
            </w:tcBorders>
            <w:hideMark/>
          </w:tcPr>
          <w:p w14:paraId="1BF1CBB6" w14:textId="452BD5A9" w:rsidR="000B6F6B" w:rsidRPr="004229C1" w:rsidRDefault="000B6F6B" w:rsidP="000B6F6B">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Послуги оцінки власного нерухомого майна</w:t>
            </w:r>
          </w:p>
        </w:tc>
      </w:tr>
    </w:tbl>
    <w:p w14:paraId="275B2A57" w14:textId="77777777" w:rsidR="00F93FA5" w:rsidRPr="004229C1" w:rsidRDefault="00F93FA5">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10207" w:type="dxa"/>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1"/>
        <w:gridCol w:w="4536"/>
      </w:tblGrid>
      <w:tr w:rsidR="00D678E1" w:rsidRPr="004229C1" w14:paraId="623C3697" w14:textId="77777777" w:rsidTr="00D678E1">
        <w:trPr>
          <w:trHeight w:val="200"/>
        </w:trPr>
        <w:tc>
          <w:tcPr>
            <w:tcW w:w="5671" w:type="dxa"/>
            <w:tcBorders>
              <w:top w:val="single" w:sz="6" w:space="0" w:color="auto"/>
              <w:bottom w:val="single" w:sz="6" w:space="0" w:color="auto"/>
              <w:right w:val="single" w:sz="6" w:space="0" w:color="auto"/>
            </w:tcBorders>
          </w:tcPr>
          <w:p w14:paraId="3B6D0B7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 особи</w:t>
            </w:r>
          </w:p>
        </w:tc>
        <w:tc>
          <w:tcPr>
            <w:tcW w:w="4536" w:type="dxa"/>
            <w:tcBorders>
              <w:top w:val="single" w:sz="6" w:space="0" w:color="auto"/>
              <w:left w:val="single" w:sz="6" w:space="0" w:color="auto"/>
              <w:bottom w:val="single" w:sz="6" w:space="0" w:color="auto"/>
            </w:tcBorders>
          </w:tcPr>
          <w:p w14:paraId="615DB02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«АКО ЕКСПЕРТ»</w:t>
            </w:r>
          </w:p>
        </w:tc>
      </w:tr>
      <w:tr w:rsidR="00D678E1" w:rsidRPr="004229C1" w14:paraId="03B037BB" w14:textId="77777777" w:rsidTr="00D678E1">
        <w:trPr>
          <w:trHeight w:val="200"/>
        </w:trPr>
        <w:tc>
          <w:tcPr>
            <w:tcW w:w="5671" w:type="dxa"/>
            <w:tcBorders>
              <w:top w:val="single" w:sz="6" w:space="0" w:color="auto"/>
              <w:bottom w:val="single" w:sz="6" w:space="0" w:color="auto"/>
              <w:right w:val="single" w:sz="6" w:space="0" w:color="auto"/>
            </w:tcBorders>
          </w:tcPr>
          <w:p w14:paraId="3B0717F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536" w:type="dxa"/>
            <w:tcBorders>
              <w:top w:val="single" w:sz="6" w:space="0" w:color="auto"/>
              <w:left w:val="single" w:sz="6" w:space="0" w:color="auto"/>
              <w:bottom w:val="single" w:sz="6" w:space="0" w:color="auto"/>
            </w:tcBorders>
          </w:tcPr>
          <w:p w14:paraId="1A2E77A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600DECBA" w14:textId="77777777" w:rsidTr="00D678E1">
        <w:trPr>
          <w:trHeight w:val="200"/>
        </w:trPr>
        <w:tc>
          <w:tcPr>
            <w:tcW w:w="5671" w:type="dxa"/>
            <w:tcBorders>
              <w:top w:val="single" w:sz="6" w:space="0" w:color="auto"/>
              <w:bottom w:val="single" w:sz="6" w:space="0" w:color="auto"/>
              <w:right w:val="single" w:sz="6" w:space="0" w:color="auto"/>
            </w:tcBorders>
          </w:tcPr>
          <w:p w14:paraId="1A56A50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536" w:type="dxa"/>
            <w:tcBorders>
              <w:top w:val="single" w:sz="6" w:space="0" w:color="auto"/>
              <w:left w:val="single" w:sz="6" w:space="0" w:color="auto"/>
              <w:bottom w:val="single" w:sz="6" w:space="0" w:color="auto"/>
            </w:tcBorders>
          </w:tcPr>
          <w:p w14:paraId="0906AC5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3A988264" w14:textId="77777777" w:rsidTr="00D678E1">
        <w:trPr>
          <w:trHeight w:val="200"/>
        </w:trPr>
        <w:tc>
          <w:tcPr>
            <w:tcW w:w="5671" w:type="dxa"/>
            <w:tcBorders>
              <w:top w:val="single" w:sz="6" w:space="0" w:color="auto"/>
              <w:bottom w:val="single" w:sz="6" w:space="0" w:color="auto"/>
              <w:right w:val="single" w:sz="6" w:space="0" w:color="auto"/>
            </w:tcBorders>
          </w:tcPr>
          <w:p w14:paraId="113F901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536" w:type="dxa"/>
            <w:tcBorders>
              <w:top w:val="single" w:sz="6" w:space="0" w:color="auto"/>
              <w:left w:val="single" w:sz="6" w:space="0" w:color="auto"/>
              <w:bottom w:val="single" w:sz="6" w:space="0" w:color="auto"/>
            </w:tcBorders>
          </w:tcPr>
          <w:p w14:paraId="4E8760C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D678E1" w:rsidRPr="004229C1" w14:paraId="13E7CDE8" w14:textId="77777777" w:rsidTr="00D678E1">
        <w:trPr>
          <w:trHeight w:val="200"/>
        </w:trPr>
        <w:tc>
          <w:tcPr>
            <w:tcW w:w="5671" w:type="dxa"/>
            <w:tcBorders>
              <w:top w:val="single" w:sz="6" w:space="0" w:color="auto"/>
              <w:bottom w:val="single" w:sz="6" w:space="0" w:color="auto"/>
              <w:right w:val="single" w:sz="6" w:space="0" w:color="auto"/>
            </w:tcBorders>
          </w:tcPr>
          <w:p w14:paraId="07CF16D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536" w:type="dxa"/>
            <w:tcBorders>
              <w:top w:val="single" w:sz="6" w:space="0" w:color="auto"/>
              <w:left w:val="single" w:sz="6" w:space="0" w:color="auto"/>
              <w:bottom w:val="single" w:sz="6" w:space="0" w:color="auto"/>
            </w:tcBorders>
          </w:tcPr>
          <w:p w14:paraId="2EABE7C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32710688</w:t>
            </w:r>
          </w:p>
        </w:tc>
      </w:tr>
      <w:tr w:rsidR="00D678E1" w:rsidRPr="004229C1" w14:paraId="3BB4C37D" w14:textId="77777777" w:rsidTr="00D678E1">
        <w:trPr>
          <w:trHeight w:val="200"/>
        </w:trPr>
        <w:tc>
          <w:tcPr>
            <w:tcW w:w="5671" w:type="dxa"/>
            <w:tcBorders>
              <w:top w:val="single" w:sz="6" w:space="0" w:color="auto"/>
              <w:bottom w:val="single" w:sz="6" w:space="0" w:color="auto"/>
              <w:right w:val="single" w:sz="6" w:space="0" w:color="auto"/>
            </w:tcBorders>
          </w:tcPr>
          <w:p w14:paraId="3ED3067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536" w:type="dxa"/>
            <w:tcBorders>
              <w:top w:val="single" w:sz="6" w:space="0" w:color="auto"/>
              <w:left w:val="single" w:sz="6" w:space="0" w:color="auto"/>
              <w:bottom w:val="single" w:sz="6" w:space="0" w:color="auto"/>
            </w:tcBorders>
          </w:tcPr>
          <w:p w14:paraId="40ACAEA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03150, Україна, м. Київ, вул. Велика Васильківська, буд.145/1, корпус Б-4, кв.166</w:t>
            </w:r>
          </w:p>
        </w:tc>
      </w:tr>
      <w:tr w:rsidR="00D678E1" w:rsidRPr="004229C1" w14:paraId="59271B79" w14:textId="77777777" w:rsidTr="00D678E1">
        <w:trPr>
          <w:trHeight w:val="200"/>
        </w:trPr>
        <w:tc>
          <w:tcPr>
            <w:tcW w:w="5671" w:type="dxa"/>
            <w:tcBorders>
              <w:top w:val="single" w:sz="6" w:space="0" w:color="auto"/>
              <w:bottom w:val="single" w:sz="6" w:space="0" w:color="auto"/>
              <w:right w:val="single" w:sz="6" w:space="0" w:color="auto"/>
            </w:tcBorders>
          </w:tcPr>
          <w:p w14:paraId="20BC5A3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536" w:type="dxa"/>
            <w:tcBorders>
              <w:top w:val="single" w:sz="6" w:space="0" w:color="auto"/>
              <w:left w:val="single" w:sz="6" w:space="0" w:color="auto"/>
              <w:bottom w:val="single" w:sz="6" w:space="0" w:color="auto"/>
            </w:tcBorders>
          </w:tcPr>
          <w:p w14:paraId="74DCE41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Сертифiкат</w:t>
            </w:r>
            <w:proofErr w:type="spellEnd"/>
            <w:r w:rsidRPr="004229C1">
              <w:rPr>
                <w:rFonts w:ascii="Times New Roman" w:hAnsi="Times New Roman" w:cs="Times New Roman"/>
                <w:kern w:val="0"/>
                <w:sz w:val="22"/>
                <w:szCs w:val="22"/>
                <w:lang w:val="uk-UA"/>
              </w:rPr>
              <w:t xml:space="preserve"> суб’єкта оціночної діяльності № 4/22</w:t>
            </w:r>
          </w:p>
        </w:tc>
      </w:tr>
      <w:tr w:rsidR="00D678E1" w:rsidRPr="004229C1" w14:paraId="36862FCE" w14:textId="77777777" w:rsidTr="00D678E1">
        <w:trPr>
          <w:trHeight w:val="200"/>
        </w:trPr>
        <w:tc>
          <w:tcPr>
            <w:tcW w:w="5671" w:type="dxa"/>
            <w:tcBorders>
              <w:top w:val="single" w:sz="6" w:space="0" w:color="auto"/>
              <w:bottom w:val="single" w:sz="6" w:space="0" w:color="auto"/>
              <w:right w:val="single" w:sz="6" w:space="0" w:color="auto"/>
            </w:tcBorders>
          </w:tcPr>
          <w:p w14:paraId="4C55D7F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536" w:type="dxa"/>
            <w:tcBorders>
              <w:top w:val="single" w:sz="6" w:space="0" w:color="auto"/>
              <w:left w:val="single" w:sz="6" w:space="0" w:color="auto"/>
              <w:bottom w:val="single" w:sz="6" w:space="0" w:color="auto"/>
            </w:tcBorders>
            <w:vAlign w:val="center"/>
          </w:tcPr>
          <w:p w14:paraId="144BAF0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 державного майна України</w:t>
            </w:r>
          </w:p>
        </w:tc>
      </w:tr>
      <w:tr w:rsidR="00D678E1" w:rsidRPr="004229C1" w14:paraId="72AC8365" w14:textId="77777777" w:rsidTr="00D678E1">
        <w:trPr>
          <w:trHeight w:val="200"/>
        </w:trPr>
        <w:tc>
          <w:tcPr>
            <w:tcW w:w="5671" w:type="dxa"/>
            <w:tcBorders>
              <w:top w:val="single" w:sz="6" w:space="0" w:color="auto"/>
              <w:bottom w:val="single" w:sz="6" w:space="0" w:color="auto"/>
              <w:right w:val="single" w:sz="6" w:space="0" w:color="auto"/>
            </w:tcBorders>
          </w:tcPr>
          <w:p w14:paraId="54E4B54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536" w:type="dxa"/>
            <w:tcBorders>
              <w:top w:val="single" w:sz="6" w:space="0" w:color="auto"/>
              <w:left w:val="single" w:sz="6" w:space="0" w:color="auto"/>
              <w:bottom w:val="single" w:sz="6" w:space="0" w:color="auto"/>
            </w:tcBorders>
          </w:tcPr>
          <w:p w14:paraId="650B043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10.01.2022 року</w:t>
            </w:r>
          </w:p>
        </w:tc>
      </w:tr>
      <w:tr w:rsidR="00D678E1" w:rsidRPr="004229C1" w14:paraId="4F0C9DCB" w14:textId="77777777" w:rsidTr="00D678E1">
        <w:trPr>
          <w:trHeight w:val="200"/>
        </w:trPr>
        <w:tc>
          <w:tcPr>
            <w:tcW w:w="5671" w:type="dxa"/>
            <w:tcBorders>
              <w:top w:val="single" w:sz="6" w:space="0" w:color="auto"/>
              <w:bottom w:val="single" w:sz="6" w:space="0" w:color="auto"/>
              <w:right w:val="single" w:sz="6" w:space="0" w:color="auto"/>
            </w:tcBorders>
          </w:tcPr>
          <w:p w14:paraId="5F39B15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телефону</w:t>
            </w:r>
          </w:p>
        </w:tc>
        <w:tc>
          <w:tcPr>
            <w:tcW w:w="4536" w:type="dxa"/>
            <w:tcBorders>
              <w:top w:val="single" w:sz="6" w:space="0" w:color="auto"/>
              <w:left w:val="single" w:sz="6" w:space="0" w:color="auto"/>
              <w:bottom w:val="single" w:sz="6" w:space="0" w:color="auto"/>
            </w:tcBorders>
          </w:tcPr>
          <w:p w14:paraId="4355A6A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 (44) 332-01-03</w:t>
            </w:r>
          </w:p>
          <w:p w14:paraId="47E84B0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 (50) 880-39-39</w:t>
            </w:r>
          </w:p>
          <w:p w14:paraId="359277D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 (97) 380-39-39</w:t>
            </w:r>
          </w:p>
        </w:tc>
      </w:tr>
      <w:tr w:rsidR="00D678E1" w:rsidRPr="004229C1" w14:paraId="4361E88D" w14:textId="77777777" w:rsidTr="00D678E1">
        <w:trPr>
          <w:trHeight w:val="200"/>
        </w:trPr>
        <w:tc>
          <w:tcPr>
            <w:tcW w:w="5671" w:type="dxa"/>
            <w:tcBorders>
              <w:top w:val="single" w:sz="6" w:space="0" w:color="auto"/>
              <w:bottom w:val="single" w:sz="6" w:space="0" w:color="auto"/>
              <w:right w:val="single" w:sz="6" w:space="0" w:color="auto"/>
            </w:tcBorders>
          </w:tcPr>
          <w:p w14:paraId="320E460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536" w:type="dxa"/>
            <w:tcBorders>
              <w:top w:val="single" w:sz="6" w:space="0" w:color="auto"/>
              <w:left w:val="single" w:sz="6" w:space="0" w:color="auto"/>
              <w:bottom w:val="single" w:sz="6" w:space="0" w:color="auto"/>
            </w:tcBorders>
          </w:tcPr>
          <w:p w14:paraId="68A1F0E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68.31 - Агентства </w:t>
            </w:r>
            <w:proofErr w:type="spellStart"/>
            <w:r w:rsidRPr="004229C1">
              <w:rPr>
                <w:rFonts w:ascii="Times New Roman" w:hAnsi="Times New Roman" w:cs="Times New Roman"/>
                <w:kern w:val="0"/>
                <w:sz w:val="22"/>
                <w:szCs w:val="22"/>
                <w:lang w:val="uk-UA"/>
              </w:rPr>
              <w:t>нерухомостi</w:t>
            </w:r>
            <w:proofErr w:type="spellEnd"/>
          </w:p>
          <w:p w14:paraId="27A3D71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63.99 – Надання інших інформаційних </w:t>
            </w:r>
            <w:proofErr w:type="spellStart"/>
            <w:r w:rsidRPr="004229C1">
              <w:rPr>
                <w:rFonts w:ascii="Times New Roman" w:hAnsi="Times New Roman" w:cs="Times New Roman"/>
                <w:kern w:val="0"/>
                <w:sz w:val="22"/>
                <w:szCs w:val="22"/>
                <w:lang w:val="uk-UA"/>
              </w:rPr>
              <w:t>послуг,н.в.і.у</w:t>
            </w:r>
            <w:proofErr w:type="spellEnd"/>
            <w:r w:rsidRPr="004229C1">
              <w:rPr>
                <w:rFonts w:ascii="Times New Roman" w:hAnsi="Times New Roman" w:cs="Times New Roman"/>
                <w:kern w:val="0"/>
                <w:sz w:val="22"/>
                <w:szCs w:val="22"/>
                <w:lang w:val="uk-UA"/>
              </w:rPr>
              <w:t>.</w:t>
            </w:r>
          </w:p>
          <w:p w14:paraId="53803D6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66.21- Оцінювання ризиків і завданої шкоди</w:t>
            </w:r>
          </w:p>
          <w:p w14:paraId="79C0E91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69.10- Діяльність у сфері права</w:t>
            </w:r>
          </w:p>
          <w:p w14:paraId="78BB128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71.12 – Діяльність у сфері інжинірингу, геології та геодезії, надання послуг технічного консультування в цих сферах</w:t>
            </w:r>
          </w:p>
          <w:p w14:paraId="3BC3034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74.90 - </w:t>
            </w:r>
            <w:proofErr w:type="spellStart"/>
            <w:r w:rsidRPr="004229C1">
              <w:rPr>
                <w:rFonts w:ascii="Times New Roman" w:hAnsi="Times New Roman" w:cs="Times New Roman"/>
                <w:kern w:val="0"/>
                <w:sz w:val="22"/>
                <w:szCs w:val="22"/>
                <w:lang w:val="uk-UA"/>
              </w:rPr>
              <w:t>Iнша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наукова та </w:t>
            </w:r>
            <w:proofErr w:type="spellStart"/>
            <w:r w:rsidRPr="004229C1">
              <w:rPr>
                <w:rFonts w:ascii="Times New Roman" w:hAnsi="Times New Roman" w:cs="Times New Roman"/>
                <w:kern w:val="0"/>
                <w:sz w:val="22"/>
                <w:szCs w:val="22"/>
                <w:lang w:val="uk-UA"/>
              </w:rPr>
              <w:t>технiчна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н. в. i. у.</w:t>
            </w:r>
          </w:p>
        </w:tc>
      </w:tr>
      <w:tr w:rsidR="00D678E1" w:rsidRPr="004229C1" w14:paraId="6A9895DC" w14:textId="77777777" w:rsidTr="00D678E1">
        <w:trPr>
          <w:trHeight w:val="200"/>
        </w:trPr>
        <w:tc>
          <w:tcPr>
            <w:tcW w:w="5671" w:type="dxa"/>
            <w:tcBorders>
              <w:top w:val="single" w:sz="6" w:space="0" w:color="auto"/>
              <w:bottom w:val="single" w:sz="6" w:space="0" w:color="auto"/>
              <w:right w:val="single" w:sz="6" w:space="0" w:color="auto"/>
            </w:tcBorders>
          </w:tcPr>
          <w:p w14:paraId="1E234BA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536" w:type="dxa"/>
            <w:tcBorders>
              <w:top w:val="single" w:sz="6" w:space="0" w:color="auto"/>
              <w:left w:val="single" w:sz="6" w:space="0" w:color="auto"/>
              <w:bottom w:val="single" w:sz="6" w:space="0" w:color="auto"/>
            </w:tcBorders>
          </w:tcPr>
          <w:p w14:paraId="4B1B1F9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 Моніторинг заставного майна</w:t>
            </w:r>
          </w:p>
        </w:tc>
      </w:tr>
    </w:tbl>
    <w:p w14:paraId="7ABA123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10207" w:type="dxa"/>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1"/>
        <w:gridCol w:w="4536"/>
      </w:tblGrid>
      <w:tr w:rsidR="00D678E1" w:rsidRPr="004229C1" w14:paraId="2569A650" w14:textId="77777777" w:rsidTr="00D678E1">
        <w:trPr>
          <w:trHeight w:val="200"/>
        </w:trPr>
        <w:tc>
          <w:tcPr>
            <w:tcW w:w="5671" w:type="dxa"/>
            <w:tcBorders>
              <w:top w:val="single" w:sz="6" w:space="0" w:color="auto"/>
              <w:bottom w:val="single" w:sz="6" w:space="0" w:color="auto"/>
              <w:right w:val="single" w:sz="6" w:space="0" w:color="auto"/>
            </w:tcBorders>
          </w:tcPr>
          <w:p w14:paraId="4F5A3E3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 особи</w:t>
            </w:r>
          </w:p>
        </w:tc>
        <w:tc>
          <w:tcPr>
            <w:tcW w:w="4536" w:type="dxa"/>
            <w:tcBorders>
              <w:top w:val="single" w:sz="6" w:space="0" w:color="auto"/>
              <w:left w:val="single" w:sz="6" w:space="0" w:color="auto"/>
              <w:bottom w:val="single" w:sz="6" w:space="0" w:color="auto"/>
            </w:tcBorders>
          </w:tcPr>
          <w:p w14:paraId="5410D93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"ЕССЕТ ЕКСПЕРТАЙЗ"</w:t>
            </w:r>
          </w:p>
        </w:tc>
      </w:tr>
      <w:tr w:rsidR="00D678E1" w:rsidRPr="004229C1" w14:paraId="3BD61CE6" w14:textId="77777777" w:rsidTr="00D678E1">
        <w:trPr>
          <w:trHeight w:val="200"/>
        </w:trPr>
        <w:tc>
          <w:tcPr>
            <w:tcW w:w="5671" w:type="dxa"/>
            <w:tcBorders>
              <w:top w:val="single" w:sz="6" w:space="0" w:color="auto"/>
              <w:bottom w:val="single" w:sz="6" w:space="0" w:color="auto"/>
              <w:right w:val="single" w:sz="6" w:space="0" w:color="auto"/>
            </w:tcBorders>
          </w:tcPr>
          <w:p w14:paraId="611E1FA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РНОКПП / </w:t>
            </w:r>
            <w:r w:rsidRPr="004229C1">
              <w:rPr>
                <w:rFonts w:ascii="Times New Roman" w:hAnsi="Times New Roman" w:cs="Times New Roman"/>
                <w:b/>
                <w:bCs/>
                <w:kern w:val="0"/>
                <w:sz w:val="22"/>
                <w:szCs w:val="22"/>
                <w:lang w:val="uk-UA"/>
              </w:rPr>
              <w:t>ІПН</w:t>
            </w:r>
          </w:p>
        </w:tc>
        <w:tc>
          <w:tcPr>
            <w:tcW w:w="4536" w:type="dxa"/>
            <w:tcBorders>
              <w:top w:val="single" w:sz="6" w:space="0" w:color="auto"/>
              <w:left w:val="single" w:sz="6" w:space="0" w:color="auto"/>
              <w:bottom w:val="single" w:sz="6" w:space="0" w:color="auto"/>
            </w:tcBorders>
          </w:tcPr>
          <w:p w14:paraId="5BB14CA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381383726584</w:t>
            </w:r>
          </w:p>
        </w:tc>
      </w:tr>
      <w:tr w:rsidR="00D678E1" w:rsidRPr="004229C1" w14:paraId="59697768" w14:textId="77777777" w:rsidTr="00D678E1">
        <w:trPr>
          <w:trHeight w:val="200"/>
        </w:trPr>
        <w:tc>
          <w:tcPr>
            <w:tcW w:w="5671" w:type="dxa"/>
            <w:tcBorders>
              <w:top w:val="single" w:sz="6" w:space="0" w:color="auto"/>
              <w:bottom w:val="single" w:sz="6" w:space="0" w:color="auto"/>
              <w:right w:val="single" w:sz="6" w:space="0" w:color="auto"/>
            </w:tcBorders>
          </w:tcPr>
          <w:p w14:paraId="201F7DE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536" w:type="dxa"/>
            <w:tcBorders>
              <w:top w:val="single" w:sz="6" w:space="0" w:color="auto"/>
              <w:left w:val="single" w:sz="6" w:space="0" w:color="auto"/>
              <w:bottom w:val="single" w:sz="6" w:space="0" w:color="auto"/>
            </w:tcBorders>
          </w:tcPr>
          <w:p w14:paraId="732E7C7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150B0BDB" w14:textId="77777777" w:rsidTr="00D678E1">
        <w:trPr>
          <w:trHeight w:val="200"/>
        </w:trPr>
        <w:tc>
          <w:tcPr>
            <w:tcW w:w="5671" w:type="dxa"/>
            <w:tcBorders>
              <w:top w:val="single" w:sz="6" w:space="0" w:color="auto"/>
              <w:bottom w:val="single" w:sz="6" w:space="0" w:color="auto"/>
              <w:right w:val="single" w:sz="6" w:space="0" w:color="auto"/>
            </w:tcBorders>
          </w:tcPr>
          <w:p w14:paraId="3E16C7F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536" w:type="dxa"/>
            <w:tcBorders>
              <w:top w:val="single" w:sz="6" w:space="0" w:color="auto"/>
              <w:left w:val="single" w:sz="6" w:space="0" w:color="auto"/>
              <w:bottom w:val="single" w:sz="6" w:space="0" w:color="auto"/>
            </w:tcBorders>
          </w:tcPr>
          <w:p w14:paraId="0B0334B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D678E1" w:rsidRPr="004229C1" w14:paraId="314D2188" w14:textId="77777777" w:rsidTr="00D678E1">
        <w:trPr>
          <w:trHeight w:val="200"/>
        </w:trPr>
        <w:tc>
          <w:tcPr>
            <w:tcW w:w="5671" w:type="dxa"/>
            <w:tcBorders>
              <w:top w:val="single" w:sz="6" w:space="0" w:color="auto"/>
              <w:bottom w:val="single" w:sz="6" w:space="0" w:color="auto"/>
              <w:right w:val="single" w:sz="6" w:space="0" w:color="auto"/>
            </w:tcBorders>
          </w:tcPr>
          <w:p w14:paraId="63D2983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536" w:type="dxa"/>
            <w:tcBorders>
              <w:top w:val="single" w:sz="6" w:space="0" w:color="auto"/>
              <w:left w:val="single" w:sz="6" w:space="0" w:color="auto"/>
              <w:bottom w:val="single" w:sz="6" w:space="0" w:color="auto"/>
            </w:tcBorders>
          </w:tcPr>
          <w:p w14:paraId="21255C2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38138378</w:t>
            </w:r>
          </w:p>
        </w:tc>
      </w:tr>
      <w:tr w:rsidR="00D678E1" w:rsidRPr="004229C1" w14:paraId="7AC91B2A" w14:textId="77777777" w:rsidTr="00D678E1">
        <w:trPr>
          <w:trHeight w:val="200"/>
        </w:trPr>
        <w:tc>
          <w:tcPr>
            <w:tcW w:w="5671" w:type="dxa"/>
            <w:tcBorders>
              <w:top w:val="single" w:sz="6" w:space="0" w:color="auto"/>
              <w:bottom w:val="single" w:sz="6" w:space="0" w:color="auto"/>
              <w:right w:val="single" w:sz="6" w:space="0" w:color="auto"/>
            </w:tcBorders>
          </w:tcPr>
          <w:p w14:paraId="770C1E5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536" w:type="dxa"/>
            <w:tcBorders>
              <w:top w:val="single" w:sz="6" w:space="0" w:color="auto"/>
              <w:left w:val="single" w:sz="6" w:space="0" w:color="auto"/>
              <w:bottom w:val="single" w:sz="6" w:space="0" w:color="auto"/>
            </w:tcBorders>
          </w:tcPr>
          <w:p w14:paraId="26F4074F"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03124, м. Київ, вул. Миколи Василенка, 7-А</w:t>
            </w:r>
          </w:p>
        </w:tc>
      </w:tr>
      <w:tr w:rsidR="00D678E1" w:rsidRPr="004229C1" w14:paraId="6C9B9D70" w14:textId="77777777" w:rsidTr="00D678E1">
        <w:trPr>
          <w:trHeight w:val="200"/>
        </w:trPr>
        <w:tc>
          <w:tcPr>
            <w:tcW w:w="5671" w:type="dxa"/>
            <w:tcBorders>
              <w:top w:val="single" w:sz="6" w:space="0" w:color="auto"/>
              <w:bottom w:val="single" w:sz="6" w:space="0" w:color="auto"/>
              <w:right w:val="single" w:sz="6" w:space="0" w:color="auto"/>
            </w:tcBorders>
          </w:tcPr>
          <w:p w14:paraId="102426A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536" w:type="dxa"/>
            <w:tcBorders>
              <w:top w:val="single" w:sz="6" w:space="0" w:color="auto"/>
              <w:left w:val="single" w:sz="6" w:space="0" w:color="auto"/>
              <w:bottom w:val="single" w:sz="6" w:space="0" w:color="auto"/>
            </w:tcBorders>
          </w:tcPr>
          <w:p w14:paraId="55EC7D9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Сертифiкат</w:t>
            </w:r>
            <w:proofErr w:type="spellEnd"/>
            <w:r w:rsidRPr="004229C1">
              <w:rPr>
                <w:rFonts w:ascii="Times New Roman" w:hAnsi="Times New Roman" w:cs="Times New Roman"/>
                <w:kern w:val="0"/>
                <w:sz w:val="22"/>
                <w:szCs w:val="22"/>
                <w:lang w:val="uk-UA"/>
              </w:rPr>
              <w:t xml:space="preserve"> № 234/2024</w:t>
            </w:r>
          </w:p>
        </w:tc>
      </w:tr>
      <w:tr w:rsidR="00D678E1" w:rsidRPr="004229C1" w14:paraId="6ACC449A" w14:textId="77777777" w:rsidTr="00D678E1">
        <w:trPr>
          <w:trHeight w:val="200"/>
        </w:trPr>
        <w:tc>
          <w:tcPr>
            <w:tcW w:w="5671" w:type="dxa"/>
            <w:tcBorders>
              <w:top w:val="single" w:sz="6" w:space="0" w:color="auto"/>
              <w:bottom w:val="single" w:sz="6" w:space="0" w:color="auto"/>
              <w:right w:val="single" w:sz="6" w:space="0" w:color="auto"/>
            </w:tcBorders>
          </w:tcPr>
          <w:p w14:paraId="28F3D4B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536" w:type="dxa"/>
            <w:tcBorders>
              <w:top w:val="single" w:sz="6" w:space="0" w:color="auto"/>
              <w:left w:val="single" w:sz="6" w:space="0" w:color="auto"/>
              <w:bottom w:val="single" w:sz="6" w:space="0" w:color="auto"/>
            </w:tcBorders>
          </w:tcPr>
          <w:p w14:paraId="2D3524A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 державного майна України</w:t>
            </w:r>
          </w:p>
        </w:tc>
      </w:tr>
      <w:tr w:rsidR="00D678E1" w:rsidRPr="004229C1" w14:paraId="28025AC5" w14:textId="77777777" w:rsidTr="00D678E1">
        <w:trPr>
          <w:trHeight w:val="200"/>
        </w:trPr>
        <w:tc>
          <w:tcPr>
            <w:tcW w:w="5671" w:type="dxa"/>
            <w:tcBorders>
              <w:top w:val="single" w:sz="6" w:space="0" w:color="auto"/>
              <w:bottom w:val="single" w:sz="6" w:space="0" w:color="auto"/>
              <w:right w:val="single" w:sz="6" w:space="0" w:color="auto"/>
            </w:tcBorders>
          </w:tcPr>
          <w:p w14:paraId="3970C6A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536" w:type="dxa"/>
            <w:tcBorders>
              <w:top w:val="single" w:sz="6" w:space="0" w:color="auto"/>
              <w:left w:val="single" w:sz="6" w:space="0" w:color="auto"/>
              <w:bottom w:val="single" w:sz="6" w:space="0" w:color="auto"/>
            </w:tcBorders>
          </w:tcPr>
          <w:p w14:paraId="3681AE2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21.05.2024</w:t>
            </w:r>
          </w:p>
        </w:tc>
      </w:tr>
      <w:tr w:rsidR="00D678E1" w:rsidRPr="004229C1" w14:paraId="6C38C56C" w14:textId="77777777" w:rsidTr="00D678E1">
        <w:trPr>
          <w:trHeight w:val="200"/>
        </w:trPr>
        <w:tc>
          <w:tcPr>
            <w:tcW w:w="5671" w:type="dxa"/>
            <w:tcBorders>
              <w:top w:val="single" w:sz="6" w:space="0" w:color="auto"/>
              <w:bottom w:val="single" w:sz="6" w:space="0" w:color="auto"/>
              <w:right w:val="single" w:sz="6" w:space="0" w:color="auto"/>
            </w:tcBorders>
          </w:tcPr>
          <w:p w14:paraId="7D60FA2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телефону</w:t>
            </w:r>
          </w:p>
        </w:tc>
        <w:tc>
          <w:tcPr>
            <w:tcW w:w="4536" w:type="dxa"/>
            <w:tcBorders>
              <w:top w:val="single" w:sz="6" w:space="0" w:color="auto"/>
              <w:left w:val="single" w:sz="6" w:space="0" w:color="auto"/>
              <w:bottom w:val="single" w:sz="6" w:space="0" w:color="auto"/>
            </w:tcBorders>
          </w:tcPr>
          <w:p w14:paraId="0C6A7C8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 (044) 4926699</w:t>
            </w:r>
            <w:r w:rsidRPr="004229C1">
              <w:rPr>
                <w:rFonts w:ascii="Times New Roman" w:hAnsi="Times New Roman" w:cs="Times New Roman"/>
                <w:kern w:val="0"/>
                <w:sz w:val="22"/>
                <w:szCs w:val="22"/>
                <w:lang w:val="uk-UA"/>
              </w:rPr>
              <w:br/>
              <w:t>+38 (050) 3305054</w:t>
            </w:r>
          </w:p>
        </w:tc>
      </w:tr>
      <w:tr w:rsidR="00D678E1" w:rsidRPr="004229C1" w14:paraId="18B4DEE7" w14:textId="77777777" w:rsidTr="00D678E1">
        <w:trPr>
          <w:trHeight w:val="200"/>
        </w:trPr>
        <w:tc>
          <w:tcPr>
            <w:tcW w:w="5671" w:type="dxa"/>
            <w:tcBorders>
              <w:top w:val="single" w:sz="6" w:space="0" w:color="auto"/>
              <w:bottom w:val="single" w:sz="6" w:space="0" w:color="auto"/>
              <w:right w:val="single" w:sz="6" w:space="0" w:color="auto"/>
            </w:tcBorders>
          </w:tcPr>
          <w:p w14:paraId="58FAB3C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536" w:type="dxa"/>
            <w:tcBorders>
              <w:top w:val="single" w:sz="6" w:space="0" w:color="auto"/>
              <w:left w:val="single" w:sz="6" w:space="0" w:color="auto"/>
              <w:bottom w:val="single" w:sz="6" w:space="0" w:color="auto"/>
            </w:tcBorders>
          </w:tcPr>
          <w:p w14:paraId="24CF905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68.31 Агентства нерухомості (основний)</w:t>
            </w:r>
          </w:p>
          <w:p w14:paraId="49E22D0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70.22 Консультування з питань комерційної діяльності й керування</w:t>
            </w:r>
          </w:p>
          <w:p w14:paraId="04E65F4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71.12 Діяльність у сфері інжинірингу, геології та геодезії, надання</w:t>
            </w:r>
          </w:p>
          <w:p w14:paraId="14E2ED2F"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послуг технічного консультування в цих сферах</w:t>
            </w:r>
          </w:p>
          <w:p w14:paraId="60B1E03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73.20 Дослідження кон'юнктури ринку та виявлення громадської думки</w:t>
            </w:r>
          </w:p>
          <w:p w14:paraId="22F47EE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74.90 Інша професійна, наукова та технічна діяльність, </w:t>
            </w:r>
            <w:proofErr w:type="spellStart"/>
            <w:r w:rsidRPr="004229C1">
              <w:rPr>
                <w:rFonts w:ascii="Times New Roman" w:hAnsi="Times New Roman" w:cs="Times New Roman"/>
                <w:kern w:val="0"/>
                <w:sz w:val="22"/>
                <w:szCs w:val="22"/>
                <w:lang w:val="uk-UA"/>
              </w:rPr>
              <w:t>н.в.і.у</w:t>
            </w:r>
            <w:proofErr w:type="spellEnd"/>
            <w:r w:rsidRPr="004229C1">
              <w:rPr>
                <w:rFonts w:ascii="Times New Roman" w:hAnsi="Times New Roman" w:cs="Times New Roman"/>
                <w:kern w:val="0"/>
                <w:sz w:val="22"/>
                <w:szCs w:val="22"/>
                <w:lang w:val="uk-UA"/>
              </w:rPr>
              <w:t>.</w:t>
            </w:r>
          </w:p>
        </w:tc>
      </w:tr>
      <w:tr w:rsidR="00D678E1" w:rsidRPr="004229C1" w14:paraId="39FE96CE" w14:textId="77777777" w:rsidTr="00D678E1">
        <w:trPr>
          <w:trHeight w:val="200"/>
        </w:trPr>
        <w:tc>
          <w:tcPr>
            <w:tcW w:w="5671" w:type="dxa"/>
            <w:tcBorders>
              <w:top w:val="single" w:sz="6" w:space="0" w:color="auto"/>
              <w:bottom w:val="single" w:sz="6" w:space="0" w:color="auto"/>
              <w:right w:val="single" w:sz="6" w:space="0" w:color="auto"/>
            </w:tcBorders>
          </w:tcPr>
          <w:p w14:paraId="6DD7F0DF"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536" w:type="dxa"/>
            <w:tcBorders>
              <w:top w:val="single" w:sz="6" w:space="0" w:color="auto"/>
              <w:left w:val="single" w:sz="6" w:space="0" w:color="auto"/>
              <w:bottom w:val="single" w:sz="6" w:space="0" w:color="auto"/>
            </w:tcBorders>
          </w:tcPr>
          <w:p w14:paraId="10409A9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Моніторинг заставного майна;</w:t>
            </w:r>
          </w:p>
          <w:p w14:paraId="19785FC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Технічна експертиза в галузі громадського будівництва</w:t>
            </w:r>
          </w:p>
        </w:tc>
      </w:tr>
    </w:tbl>
    <w:p w14:paraId="76EC23F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10207" w:type="dxa"/>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1"/>
        <w:gridCol w:w="4536"/>
      </w:tblGrid>
      <w:tr w:rsidR="00D678E1" w:rsidRPr="004229C1" w14:paraId="2792224A" w14:textId="77777777" w:rsidTr="00D678E1">
        <w:trPr>
          <w:trHeight w:val="200"/>
        </w:trPr>
        <w:tc>
          <w:tcPr>
            <w:tcW w:w="5671" w:type="dxa"/>
            <w:tcBorders>
              <w:top w:val="single" w:sz="6" w:space="0" w:color="auto"/>
              <w:bottom w:val="single" w:sz="6" w:space="0" w:color="auto"/>
              <w:right w:val="single" w:sz="6" w:space="0" w:color="auto"/>
            </w:tcBorders>
          </w:tcPr>
          <w:p w14:paraId="5C2BBCD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 особи</w:t>
            </w:r>
          </w:p>
        </w:tc>
        <w:tc>
          <w:tcPr>
            <w:tcW w:w="4536" w:type="dxa"/>
            <w:tcBorders>
              <w:top w:val="single" w:sz="6" w:space="0" w:color="auto"/>
              <w:left w:val="single" w:sz="6" w:space="0" w:color="auto"/>
              <w:bottom w:val="single" w:sz="6" w:space="0" w:color="auto"/>
            </w:tcBorders>
          </w:tcPr>
          <w:p w14:paraId="14F8CB0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«БІЗНЕСПАРТНЕРИ»</w:t>
            </w:r>
          </w:p>
        </w:tc>
      </w:tr>
      <w:tr w:rsidR="00D678E1" w:rsidRPr="004229C1" w14:paraId="46EE4887" w14:textId="77777777" w:rsidTr="00D678E1">
        <w:trPr>
          <w:trHeight w:val="200"/>
        </w:trPr>
        <w:tc>
          <w:tcPr>
            <w:tcW w:w="5671" w:type="dxa"/>
            <w:tcBorders>
              <w:top w:val="single" w:sz="6" w:space="0" w:color="auto"/>
              <w:bottom w:val="single" w:sz="6" w:space="0" w:color="auto"/>
              <w:right w:val="single" w:sz="6" w:space="0" w:color="auto"/>
            </w:tcBorders>
          </w:tcPr>
          <w:p w14:paraId="2C3A3AB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536" w:type="dxa"/>
            <w:tcBorders>
              <w:top w:val="single" w:sz="6" w:space="0" w:color="auto"/>
              <w:left w:val="single" w:sz="6" w:space="0" w:color="auto"/>
              <w:bottom w:val="single" w:sz="6" w:space="0" w:color="auto"/>
            </w:tcBorders>
          </w:tcPr>
          <w:p w14:paraId="50EA488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5B75104B" w14:textId="77777777" w:rsidTr="00D678E1">
        <w:trPr>
          <w:trHeight w:val="200"/>
        </w:trPr>
        <w:tc>
          <w:tcPr>
            <w:tcW w:w="5671" w:type="dxa"/>
            <w:tcBorders>
              <w:top w:val="single" w:sz="6" w:space="0" w:color="auto"/>
              <w:bottom w:val="single" w:sz="6" w:space="0" w:color="auto"/>
              <w:right w:val="single" w:sz="6" w:space="0" w:color="auto"/>
            </w:tcBorders>
          </w:tcPr>
          <w:p w14:paraId="3E612DD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536" w:type="dxa"/>
            <w:tcBorders>
              <w:top w:val="single" w:sz="6" w:space="0" w:color="auto"/>
              <w:left w:val="single" w:sz="6" w:space="0" w:color="auto"/>
              <w:bottom w:val="single" w:sz="6" w:space="0" w:color="auto"/>
            </w:tcBorders>
          </w:tcPr>
          <w:p w14:paraId="3127B5C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7168C209" w14:textId="77777777" w:rsidTr="00D678E1">
        <w:trPr>
          <w:trHeight w:val="200"/>
        </w:trPr>
        <w:tc>
          <w:tcPr>
            <w:tcW w:w="5671" w:type="dxa"/>
            <w:tcBorders>
              <w:top w:val="single" w:sz="6" w:space="0" w:color="auto"/>
              <w:bottom w:val="single" w:sz="6" w:space="0" w:color="auto"/>
              <w:right w:val="single" w:sz="6" w:space="0" w:color="auto"/>
            </w:tcBorders>
          </w:tcPr>
          <w:p w14:paraId="34FF034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536" w:type="dxa"/>
            <w:tcBorders>
              <w:top w:val="single" w:sz="6" w:space="0" w:color="auto"/>
              <w:left w:val="single" w:sz="6" w:space="0" w:color="auto"/>
              <w:bottom w:val="single" w:sz="6" w:space="0" w:color="auto"/>
            </w:tcBorders>
          </w:tcPr>
          <w:p w14:paraId="362CD80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D678E1" w:rsidRPr="004229C1" w14:paraId="1C325132" w14:textId="77777777" w:rsidTr="00D678E1">
        <w:trPr>
          <w:trHeight w:val="200"/>
        </w:trPr>
        <w:tc>
          <w:tcPr>
            <w:tcW w:w="5671" w:type="dxa"/>
            <w:tcBorders>
              <w:top w:val="single" w:sz="6" w:space="0" w:color="auto"/>
              <w:bottom w:val="single" w:sz="6" w:space="0" w:color="auto"/>
              <w:right w:val="single" w:sz="6" w:space="0" w:color="auto"/>
            </w:tcBorders>
          </w:tcPr>
          <w:p w14:paraId="5AE8BB4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536" w:type="dxa"/>
            <w:tcBorders>
              <w:top w:val="single" w:sz="6" w:space="0" w:color="auto"/>
              <w:left w:val="single" w:sz="6" w:space="0" w:color="auto"/>
              <w:bottom w:val="single" w:sz="6" w:space="0" w:color="auto"/>
            </w:tcBorders>
          </w:tcPr>
          <w:p w14:paraId="2D65246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38390321</w:t>
            </w:r>
          </w:p>
        </w:tc>
      </w:tr>
      <w:tr w:rsidR="00D678E1" w:rsidRPr="004229C1" w14:paraId="1E6C2D3F" w14:textId="77777777" w:rsidTr="00D678E1">
        <w:trPr>
          <w:trHeight w:val="200"/>
        </w:trPr>
        <w:tc>
          <w:tcPr>
            <w:tcW w:w="5671" w:type="dxa"/>
            <w:tcBorders>
              <w:top w:val="single" w:sz="6" w:space="0" w:color="auto"/>
              <w:bottom w:val="single" w:sz="6" w:space="0" w:color="auto"/>
              <w:right w:val="single" w:sz="6" w:space="0" w:color="auto"/>
            </w:tcBorders>
          </w:tcPr>
          <w:p w14:paraId="5161B37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536" w:type="dxa"/>
            <w:tcBorders>
              <w:top w:val="single" w:sz="6" w:space="0" w:color="auto"/>
              <w:left w:val="single" w:sz="6" w:space="0" w:color="auto"/>
              <w:bottom w:val="single" w:sz="6" w:space="0" w:color="auto"/>
            </w:tcBorders>
          </w:tcPr>
          <w:p w14:paraId="2C2EE74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01001, м. Київ, вул. </w:t>
            </w:r>
            <w:proofErr w:type="spellStart"/>
            <w:r w:rsidRPr="004229C1">
              <w:rPr>
                <w:rFonts w:ascii="Times New Roman" w:hAnsi="Times New Roman" w:cs="Times New Roman"/>
                <w:kern w:val="0"/>
                <w:sz w:val="22"/>
                <w:szCs w:val="22"/>
                <w:lang w:val="uk-UA"/>
              </w:rPr>
              <w:t>М.Грушевського</w:t>
            </w:r>
            <w:proofErr w:type="spellEnd"/>
            <w:r w:rsidRPr="004229C1">
              <w:rPr>
                <w:rFonts w:ascii="Times New Roman" w:hAnsi="Times New Roman" w:cs="Times New Roman"/>
                <w:kern w:val="0"/>
                <w:sz w:val="22"/>
                <w:szCs w:val="22"/>
                <w:lang w:val="uk-UA"/>
              </w:rPr>
              <w:t>, 4</w:t>
            </w:r>
          </w:p>
        </w:tc>
      </w:tr>
      <w:tr w:rsidR="00D678E1" w:rsidRPr="004229C1" w14:paraId="7BC0EAD2" w14:textId="77777777" w:rsidTr="00D678E1">
        <w:trPr>
          <w:trHeight w:val="200"/>
        </w:trPr>
        <w:tc>
          <w:tcPr>
            <w:tcW w:w="5671" w:type="dxa"/>
            <w:tcBorders>
              <w:top w:val="single" w:sz="6" w:space="0" w:color="auto"/>
              <w:bottom w:val="single" w:sz="6" w:space="0" w:color="auto"/>
              <w:right w:val="single" w:sz="6" w:space="0" w:color="auto"/>
            </w:tcBorders>
          </w:tcPr>
          <w:p w14:paraId="37108D2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536" w:type="dxa"/>
            <w:tcBorders>
              <w:top w:val="single" w:sz="6" w:space="0" w:color="auto"/>
              <w:left w:val="single" w:sz="6" w:space="0" w:color="auto"/>
              <w:bottom w:val="single" w:sz="6" w:space="0" w:color="auto"/>
            </w:tcBorders>
            <w:vAlign w:val="center"/>
          </w:tcPr>
          <w:p w14:paraId="1104AF2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Сертифiкат</w:t>
            </w:r>
            <w:proofErr w:type="spellEnd"/>
            <w:r w:rsidRPr="004229C1">
              <w:rPr>
                <w:rFonts w:ascii="Times New Roman" w:hAnsi="Times New Roman" w:cs="Times New Roman"/>
                <w:kern w:val="0"/>
                <w:sz w:val="22"/>
                <w:szCs w:val="22"/>
                <w:lang w:val="uk-UA"/>
              </w:rPr>
              <w:t xml:space="preserve"> №638/2022</w:t>
            </w:r>
          </w:p>
        </w:tc>
      </w:tr>
      <w:tr w:rsidR="00D678E1" w:rsidRPr="004229C1" w14:paraId="7232553B" w14:textId="77777777" w:rsidTr="00D678E1">
        <w:trPr>
          <w:trHeight w:val="200"/>
        </w:trPr>
        <w:tc>
          <w:tcPr>
            <w:tcW w:w="5671" w:type="dxa"/>
            <w:tcBorders>
              <w:top w:val="single" w:sz="6" w:space="0" w:color="auto"/>
              <w:bottom w:val="single" w:sz="6" w:space="0" w:color="auto"/>
              <w:right w:val="single" w:sz="6" w:space="0" w:color="auto"/>
            </w:tcBorders>
          </w:tcPr>
          <w:p w14:paraId="32FD713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536" w:type="dxa"/>
            <w:tcBorders>
              <w:top w:val="single" w:sz="6" w:space="0" w:color="auto"/>
              <w:left w:val="single" w:sz="6" w:space="0" w:color="auto"/>
              <w:bottom w:val="single" w:sz="6" w:space="0" w:color="auto"/>
            </w:tcBorders>
            <w:vAlign w:val="center"/>
          </w:tcPr>
          <w:p w14:paraId="3FEC958F"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 державного майна України</w:t>
            </w:r>
          </w:p>
        </w:tc>
      </w:tr>
      <w:tr w:rsidR="00D678E1" w:rsidRPr="004229C1" w14:paraId="6CBA327E" w14:textId="77777777" w:rsidTr="00D678E1">
        <w:trPr>
          <w:trHeight w:val="200"/>
        </w:trPr>
        <w:tc>
          <w:tcPr>
            <w:tcW w:w="5671" w:type="dxa"/>
            <w:tcBorders>
              <w:top w:val="single" w:sz="6" w:space="0" w:color="auto"/>
              <w:bottom w:val="single" w:sz="6" w:space="0" w:color="auto"/>
              <w:right w:val="single" w:sz="6" w:space="0" w:color="auto"/>
            </w:tcBorders>
          </w:tcPr>
          <w:p w14:paraId="0FFCA0D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536" w:type="dxa"/>
            <w:tcBorders>
              <w:top w:val="single" w:sz="6" w:space="0" w:color="auto"/>
              <w:left w:val="single" w:sz="6" w:space="0" w:color="auto"/>
              <w:bottom w:val="single" w:sz="6" w:space="0" w:color="auto"/>
            </w:tcBorders>
            <w:vAlign w:val="center"/>
          </w:tcPr>
          <w:p w14:paraId="69B2001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20.12.2022</w:t>
            </w:r>
          </w:p>
        </w:tc>
      </w:tr>
      <w:tr w:rsidR="00D678E1" w:rsidRPr="004229C1" w14:paraId="3B5132E6" w14:textId="77777777" w:rsidTr="00D678E1">
        <w:trPr>
          <w:trHeight w:val="200"/>
        </w:trPr>
        <w:tc>
          <w:tcPr>
            <w:tcW w:w="5671" w:type="dxa"/>
            <w:tcBorders>
              <w:top w:val="single" w:sz="6" w:space="0" w:color="auto"/>
              <w:bottom w:val="single" w:sz="6" w:space="0" w:color="auto"/>
              <w:right w:val="single" w:sz="6" w:space="0" w:color="auto"/>
            </w:tcBorders>
          </w:tcPr>
          <w:p w14:paraId="3E2FF83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телефону</w:t>
            </w:r>
          </w:p>
        </w:tc>
        <w:tc>
          <w:tcPr>
            <w:tcW w:w="4536" w:type="dxa"/>
            <w:tcBorders>
              <w:top w:val="single" w:sz="6" w:space="0" w:color="auto"/>
              <w:left w:val="single" w:sz="6" w:space="0" w:color="auto"/>
              <w:bottom w:val="single" w:sz="6" w:space="0" w:color="auto"/>
            </w:tcBorders>
          </w:tcPr>
          <w:p w14:paraId="515169B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+380675499898</w:t>
            </w:r>
          </w:p>
        </w:tc>
      </w:tr>
      <w:tr w:rsidR="00D678E1" w:rsidRPr="004229C1" w14:paraId="33BA7B85" w14:textId="77777777" w:rsidTr="00D678E1">
        <w:trPr>
          <w:trHeight w:val="200"/>
        </w:trPr>
        <w:tc>
          <w:tcPr>
            <w:tcW w:w="5671" w:type="dxa"/>
            <w:tcBorders>
              <w:top w:val="single" w:sz="6" w:space="0" w:color="auto"/>
              <w:bottom w:val="single" w:sz="6" w:space="0" w:color="auto"/>
              <w:right w:val="single" w:sz="6" w:space="0" w:color="auto"/>
            </w:tcBorders>
          </w:tcPr>
          <w:p w14:paraId="351A7BD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536" w:type="dxa"/>
            <w:tcBorders>
              <w:top w:val="single" w:sz="6" w:space="0" w:color="auto"/>
              <w:left w:val="single" w:sz="6" w:space="0" w:color="auto"/>
              <w:bottom w:val="single" w:sz="6" w:space="0" w:color="auto"/>
            </w:tcBorders>
          </w:tcPr>
          <w:p w14:paraId="540DE29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66.21 Оцінювання ризиків та завданої шкоди, 68.31 Агентства нерухомості, 70.22 Консультування з питань комерційної діяльності й керування, 73.20 Дослідження кон'юнктури ринку та виявлення громадської думки, 74.90 Інша професійна, наукова та технічна діяльність, н. в. і. у.</w:t>
            </w:r>
          </w:p>
        </w:tc>
      </w:tr>
      <w:tr w:rsidR="00D678E1" w:rsidRPr="004229C1" w14:paraId="2F89EEF3" w14:textId="77777777" w:rsidTr="00D678E1">
        <w:trPr>
          <w:trHeight w:val="200"/>
        </w:trPr>
        <w:tc>
          <w:tcPr>
            <w:tcW w:w="5671" w:type="dxa"/>
            <w:tcBorders>
              <w:top w:val="single" w:sz="6" w:space="0" w:color="auto"/>
              <w:bottom w:val="single" w:sz="6" w:space="0" w:color="auto"/>
              <w:right w:val="single" w:sz="6" w:space="0" w:color="auto"/>
            </w:tcBorders>
          </w:tcPr>
          <w:p w14:paraId="14216DC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536" w:type="dxa"/>
            <w:tcBorders>
              <w:top w:val="single" w:sz="6" w:space="0" w:color="auto"/>
              <w:left w:val="single" w:sz="6" w:space="0" w:color="auto"/>
              <w:bottom w:val="single" w:sz="6" w:space="0" w:color="auto"/>
            </w:tcBorders>
          </w:tcPr>
          <w:p w14:paraId="617DBB5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Моніторінг</w:t>
            </w:r>
            <w:proofErr w:type="spellEnd"/>
            <w:r w:rsidRPr="004229C1">
              <w:rPr>
                <w:rFonts w:ascii="Times New Roman" w:hAnsi="Times New Roman" w:cs="Times New Roman"/>
                <w:kern w:val="0"/>
                <w:sz w:val="22"/>
                <w:szCs w:val="22"/>
                <w:lang w:val="uk-UA"/>
              </w:rPr>
              <w:t xml:space="preserve"> заставного майна</w:t>
            </w:r>
          </w:p>
        </w:tc>
      </w:tr>
    </w:tbl>
    <w:p w14:paraId="59A0A60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
    <w:p w14:paraId="030E853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10207" w:type="dxa"/>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1"/>
        <w:gridCol w:w="4536"/>
      </w:tblGrid>
      <w:tr w:rsidR="00D678E1" w:rsidRPr="004229C1" w14:paraId="29CCF34E" w14:textId="77777777" w:rsidTr="00D678E1">
        <w:trPr>
          <w:trHeight w:val="200"/>
        </w:trPr>
        <w:tc>
          <w:tcPr>
            <w:tcW w:w="5671" w:type="dxa"/>
            <w:tcBorders>
              <w:top w:val="single" w:sz="6" w:space="0" w:color="auto"/>
              <w:bottom w:val="single" w:sz="6" w:space="0" w:color="auto"/>
              <w:right w:val="single" w:sz="6" w:space="0" w:color="auto"/>
            </w:tcBorders>
          </w:tcPr>
          <w:p w14:paraId="5F19F9B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 особи</w:t>
            </w:r>
          </w:p>
        </w:tc>
        <w:tc>
          <w:tcPr>
            <w:tcW w:w="4536" w:type="dxa"/>
            <w:tcBorders>
              <w:top w:val="single" w:sz="6" w:space="0" w:color="auto"/>
              <w:left w:val="single" w:sz="6" w:space="0" w:color="auto"/>
              <w:bottom w:val="single" w:sz="6" w:space="0" w:color="auto"/>
            </w:tcBorders>
          </w:tcPr>
          <w:p w14:paraId="028E57D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"Оціночна компанія «Аргумент»"</w:t>
            </w:r>
          </w:p>
        </w:tc>
      </w:tr>
      <w:tr w:rsidR="00D678E1" w:rsidRPr="004229C1" w14:paraId="0E1C5306" w14:textId="77777777" w:rsidTr="00D678E1">
        <w:trPr>
          <w:trHeight w:val="200"/>
        </w:trPr>
        <w:tc>
          <w:tcPr>
            <w:tcW w:w="5671" w:type="dxa"/>
            <w:tcBorders>
              <w:top w:val="single" w:sz="6" w:space="0" w:color="auto"/>
              <w:bottom w:val="single" w:sz="6" w:space="0" w:color="auto"/>
              <w:right w:val="single" w:sz="6" w:space="0" w:color="auto"/>
            </w:tcBorders>
          </w:tcPr>
          <w:p w14:paraId="369EB82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536" w:type="dxa"/>
            <w:tcBorders>
              <w:top w:val="single" w:sz="6" w:space="0" w:color="auto"/>
              <w:left w:val="single" w:sz="6" w:space="0" w:color="auto"/>
              <w:bottom w:val="single" w:sz="6" w:space="0" w:color="auto"/>
            </w:tcBorders>
          </w:tcPr>
          <w:p w14:paraId="020B7F3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2A801B92" w14:textId="77777777" w:rsidTr="00D678E1">
        <w:trPr>
          <w:trHeight w:val="200"/>
        </w:trPr>
        <w:tc>
          <w:tcPr>
            <w:tcW w:w="5671" w:type="dxa"/>
            <w:tcBorders>
              <w:top w:val="single" w:sz="6" w:space="0" w:color="auto"/>
              <w:bottom w:val="single" w:sz="6" w:space="0" w:color="auto"/>
              <w:right w:val="single" w:sz="6" w:space="0" w:color="auto"/>
            </w:tcBorders>
          </w:tcPr>
          <w:p w14:paraId="6FA9D23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536" w:type="dxa"/>
            <w:tcBorders>
              <w:top w:val="single" w:sz="6" w:space="0" w:color="auto"/>
              <w:left w:val="single" w:sz="6" w:space="0" w:color="auto"/>
              <w:bottom w:val="single" w:sz="6" w:space="0" w:color="auto"/>
            </w:tcBorders>
          </w:tcPr>
          <w:p w14:paraId="60F1777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24D66F21" w14:textId="77777777" w:rsidTr="00D678E1">
        <w:trPr>
          <w:trHeight w:val="200"/>
        </w:trPr>
        <w:tc>
          <w:tcPr>
            <w:tcW w:w="5671" w:type="dxa"/>
            <w:tcBorders>
              <w:top w:val="single" w:sz="6" w:space="0" w:color="auto"/>
              <w:bottom w:val="single" w:sz="6" w:space="0" w:color="auto"/>
              <w:right w:val="single" w:sz="6" w:space="0" w:color="auto"/>
            </w:tcBorders>
          </w:tcPr>
          <w:p w14:paraId="0FAE6AA3"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536" w:type="dxa"/>
            <w:tcBorders>
              <w:top w:val="single" w:sz="6" w:space="0" w:color="auto"/>
              <w:left w:val="single" w:sz="6" w:space="0" w:color="auto"/>
              <w:bottom w:val="single" w:sz="6" w:space="0" w:color="auto"/>
            </w:tcBorders>
          </w:tcPr>
          <w:p w14:paraId="313DA45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D678E1" w:rsidRPr="004229C1" w14:paraId="788DDA51" w14:textId="77777777" w:rsidTr="00D678E1">
        <w:trPr>
          <w:trHeight w:val="200"/>
        </w:trPr>
        <w:tc>
          <w:tcPr>
            <w:tcW w:w="5671" w:type="dxa"/>
            <w:tcBorders>
              <w:top w:val="single" w:sz="6" w:space="0" w:color="auto"/>
              <w:bottom w:val="single" w:sz="6" w:space="0" w:color="auto"/>
              <w:right w:val="single" w:sz="6" w:space="0" w:color="auto"/>
            </w:tcBorders>
          </w:tcPr>
          <w:p w14:paraId="5172107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536" w:type="dxa"/>
            <w:tcBorders>
              <w:top w:val="single" w:sz="6" w:space="0" w:color="auto"/>
              <w:left w:val="single" w:sz="6" w:space="0" w:color="auto"/>
              <w:bottom w:val="single" w:sz="6" w:space="0" w:color="auto"/>
            </w:tcBorders>
          </w:tcPr>
          <w:p w14:paraId="1FED958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34286063</w:t>
            </w:r>
          </w:p>
        </w:tc>
      </w:tr>
      <w:tr w:rsidR="00D678E1" w:rsidRPr="004229C1" w14:paraId="0E0C0150" w14:textId="77777777" w:rsidTr="00D678E1">
        <w:trPr>
          <w:trHeight w:val="200"/>
        </w:trPr>
        <w:tc>
          <w:tcPr>
            <w:tcW w:w="5671" w:type="dxa"/>
            <w:tcBorders>
              <w:top w:val="single" w:sz="6" w:space="0" w:color="auto"/>
              <w:bottom w:val="single" w:sz="6" w:space="0" w:color="auto"/>
              <w:right w:val="single" w:sz="6" w:space="0" w:color="auto"/>
            </w:tcBorders>
          </w:tcPr>
          <w:p w14:paraId="74FD4ECF"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536" w:type="dxa"/>
            <w:tcBorders>
              <w:top w:val="single" w:sz="6" w:space="0" w:color="auto"/>
              <w:left w:val="single" w:sz="6" w:space="0" w:color="auto"/>
              <w:bottom w:val="single" w:sz="6" w:space="0" w:color="auto"/>
            </w:tcBorders>
          </w:tcPr>
          <w:p w14:paraId="34C53EE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65007, Україна, Одеська обл., місто Одеса, вулиця Мала </w:t>
            </w:r>
            <w:proofErr w:type="spellStart"/>
            <w:r w:rsidRPr="004229C1">
              <w:rPr>
                <w:rFonts w:ascii="Times New Roman" w:hAnsi="Times New Roman" w:cs="Times New Roman"/>
                <w:kern w:val="0"/>
                <w:sz w:val="22"/>
                <w:szCs w:val="22"/>
                <w:lang w:val="uk-UA"/>
              </w:rPr>
              <w:t>Арнаутська</w:t>
            </w:r>
            <w:proofErr w:type="spellEnd"/>
            <w:r w:rsidRPr="004229C1">
              <w:rPr>
                <w:rFonts w:ascii="Times New Roman" w:hAnsi="Times New Roman" w:cs="Times New Roman"/>
                <w:kern w:val="0"/>
                <w:sz w:val="22"/>
                <w:szCs w:val="22"/>
                <w:lang w:val="uk-UA"/>
              </w:rPr>
              <w:t>, 86, кв.18</w:t>
            </w:r>
          </w:p>
        </w:tc>
      </w:tr>
      <w:tr w:rsidR="00D678E1" w:rsidRPr="004229C1" w14:paraId="1226FEDA" w14:textId="77777777" w:rsidTr="00D678E1">
        <w:trPr>
          <w:trHeight w:val="200"/>
        </w:trPr>
        <w:tc>
          <w:tcPr>
            <w:tcW w:w="5671" w:type="dxa"/>
            <w:tcBorders>
              <w:top w:val="single" w:sz="6" w:space="0" w:color="auto"/>
              <w:bottom w:val="single" w:sz="6" w:space="0" w:color="auto"/>
              <w:right w:val="single" w:sz="6" w:space="0" w:color="auto"/>
            </w:tcBorders>
          </w:tcPr>
          <w:p w14:paraId="7D9B0D2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536" w:type="dxa"/>
            <w:tcBorders>
              <w:top w:val="single" w:sz="6" w:space="0" w:color="auto"/>
              <w:left w:val="single" w:sz="6" w:space="0" w:color="auto"/>
              <w:bottom w:val="single" w:sz="6" w:space="0" w:color="auto"/>
            </w:tcBorders>
            <w:vAlign w:val="center"/>
          </w:tcPr>
          <w:p w14:paraId="4054D97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Сертифiкат</w:t>
            </w:r>
            <w:proofErr w:type="spellEnd"/>
            <w:r w:rsidRPr="004229C1">
              <w:rPr>
                <w:rFonts w:ascii="Times New Roman" w:hAnsi="Times New Roman" w:cs="Times New Roman"/>
                <w:kern w:val="0"/>
                <w:sz w:val="22"/>
                <w:szCs w:val="22"/>
                <w:lang w:val="uk-UA"/>
              </w:rPr>
              <w:t xml:space="preserve"> № 277/2023</w:t>
            </w:r>
          </w:p>
        </w:tc>
      </w:tr>
      <w:tr w:rsidR="00D678E1" w:rsidRPr="004229C1" w14:paraId="5AF1D782" w14:textId="77777777" w:rsidTr="00D678E1">
        <w:trPr>
          <w:trHeight w:val="200"/>
        </w:trPr>
        <w:tc>
          <w:tcPr>
            <w:tcW w:w="5671" w:type="dxa"/>
            <w:tcBorders>
              <w:top w:val="single" w:sz="6" w:space="0" w:color="auto"/>
              <w:bottom w:val="single" w:sz="6" w:space="0" w:color="auto"/>
              <w:right w:val="single" w:sz="6" w:space="0" w:color="auto"/>
            </w:tcBorders>
          </w:tcPr>
          <w:p w14:paraId="7D0B9E2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536" w:type="dxa"/>
            <w:tcBorders>
              <w:top w:val="single" w:sz="6" w:space="0" w:color="auto"/>
              <w:left w:val="single" w:sz="6" w:space="0" w:color="auto"/>
              <w:bottom w:val="single" w:sz="6" w:space="0" w:color="auto"/>
            </w:tcBorders>
            <w:vAlign w:val="center"/>
          </w:tcPr>
          <w:p w14:paraId="41BF176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 державного майна України</w:t>
            </w:r>
          </w:p>
        </w:tc>
      </w:tr>
      <w:tr w:rsidR="00D678E1" w:rsidRPr="004229C1" w14:paraId="2F854B95" w14:textId="77777777" w:rsidTr="00D678E1">
        <w:trPr>
          <w:trHeight w:val="200"/>
        </w:trPr>
        <w:tc>
          <w:tcPr>
            <w:tcW w:w="5671" w:type="dxa"/>
            <w:tcBorders>
              <w:top w:val="single" w:sz="6" w:space="0" w:color="auto"/>
              <w:bottom w:val="single" w:sz="6" w:space="0" w:color="auto"/>
              <w:right w:val="single" w:sz="6" w:space="0" w:color="auto"/>
            </w:tcBorders>
          </w:tcPr>
          <w:p w14:paraId="0AE5713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536" w:type="dxa"/>
            <w:tcBorders>
              <w:top w:val="single" w:sz="6" w:space="0" w:color="auto"/>
              <w:left w:val="single" w:sz="6" w:space="0" w:color="auto"/>
              <w:bottom w:val="single" w:sz="6" w:space="0" w:color="auto"/>
            </w:tcBorders>
            <w:vAlign w:val="center"/>
          </w:tcPr>
          <w:p w14:paraId="1F342BE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09.05.2023</w:t>
            </w:r>
          </w:p>
        </w:tc>
      </w:tr>
      <w:tr w:rsidR="00D678E1" w:rsidRPr="004229C1" w14:paraId="2C9D1C57" w14:textId="77777777" w:rsidTr="00D678E1">
        <w:trPr>
          <w:trHeight w:val="200"/>
        </w:trPr>
        <w:tc>
          <w:tcPr>
            <w:tcW w:w="5671" w:type="dxa"/>
            <w:tcBorders>
              <w:top w:val="single" w:sz="6" w:space="0" w:color="auto"/>
              <w:bottom w:val="single" w:sz="6" w:space="0" w:color="auto"/>
              <w:right w:val="single" w:sz="6" w:space="0" w:color="auto"/>
            </w:tcBorders>
          </w:tcPr>
          <w:p w14:paraId="27B166F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телефону</w:t>
            </w:r>
          </w:p>
        </w:tc>
        <w:tc>
          <w:tcPr>
            <w:tcW w:w="4536" w:type="dxa"/>
            <w:tcBorders>
              <w:top w:val="single" w:sz="6" w:space="0" w:color="auto"/>
              <w:left w:val="single" w:sz="6" w:space="0" w:color="auto"/>
              <w:bottom w:val="single" w:sz="6" w:space="0" w:color="auto"/>
            </w:tcBorders>
          </w:tcPr>
          <w:p w14:paraId="5BC8421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 (044) 3839200</w:t>
            </w:r>
            <w:r w:rsidRPr="004229C1">
              <w:rPr>
                <w:rFonts w:ascii="Times New Roman" w:hAnsi="Times New Roman" w:cs="Times New Roman"/>
                <w:kern w:val="0"/>
                <w:sz w:val="22"/>
                <w:szCs w:val="22"/>
                <w:lang w:val="uk-UA"/>
              </w:rPr>
              <w:br/>
              <w:t>+38 (067) 7787001</w:t>
            </w:r>
          </w:p>
        </w:tc>
      </w:tr>
      <w:tr w:rsidR="00D678E1" w:rsidRPr="004229C1" w14:paraId="0E4D36E7" w14:textId="77777777" w:rsidTr="00D678E1">
        <w:trPr>
          <w:trHeight w:val="200"/>
        </w:trPr>
        <w:tc>
          <w:tcPr>
            <w:tcW w:w="5671" w:type="dxa"/>
            <w:tcBorders>
              <w:top w:val="single" w:sz="6" w:space="0" w:color="auto"/>
              <w:bottom w:val="single" w:sz="6" w:space="0" w:color="auto"/>
              <w:right w:val="single" w:sz="6" w:space="0" w:color="auto"/>
            </w:tcBorders>
          </w:tcPr>
          <w:p w14:paraId="22550C3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536" w:type="dxa"/>
            <w:tcBorders>
              <w:top w:val="single" w:sz="6" w:space="0" w:color="auto"/>
              <w:left w:val="single" w:sz="6" w:space="0" w:color="auto"/>
              <w:bottom w:val="single" w:sz="6" w:space="0" w:color="auto"/>
            </w:tcBorders>
          </w:tcPr>
          <w:p w14:paraId="33C2BFA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63.99 Надання інших інформаційних послуг, </w:t>
            </w:r>
            <w:proofErr w:type="spellStart"/>
            <w:r w:rsidRPr="004229C1">
              <w:rPr>
                <w:rFonts w:ascii="Times New Roman" w:hAnsi="Times New Roman" w:cs="Times New Roman"/>
                <w:kern w:val="0"/>
                <w:sz w:val="22"/>
                <w:szCs w:val="22"/>
                <w:lang w:val="uk-UA"/>
              </w:rPr>
              <w:t>н.в.і.у</w:t>
            </w:r>
            <w:proofErr w:type="spellEnd"/>
            <w:r w:rsidRPr="004229C1">
              <w:rPr>
                <w:rFonts w:ascii="Times New Roman" w:hAnsi="Times New Roman" w:cs="Times New Roman"/>
                <w:kern w:val="0"/>
                <w:sz w:val="22"/>
                <w:szCs w:val="22"/>
                <w:lang w:val="uk-UA"/>
              </w:rPr>
              <w:t xml:space="preserve">. </w:t>
            </w:r>
          </w:p>
          <w:p w14:paraId="513F0E1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96.09 Надання інших індивідуальних послуг, </w:t>
            </w:r>
            <w:proofErr w:type="spellStart"/>
            <w:r w:rsidRPr="004229C1">
              <w:rPr>
                <w:rFonts w:ascii="Times New Roman" w:hAnsi="Times New Roman" w:cs="Times New Roman"/>
                <w:kern w:val="0"/>
                <w:sz w:val="22"/>
                <w:szCs w:val="22"/>
                <w:lang w:val="uk-UA"/>
              </w:rPr>
              <w:t>н.в.і.у</w:t>
            </w:r>
            <w:proofErr w:type="spellEnd"/>
            <w:r w:rsidRPr="004229C1">
              <w:rPr>
                <w:rFonts w:ascii="Times New Roman" w:hAnsi="Times New Roman" w:cs="Times New Roman"/>
                <w:kern w:val="0"/>
                <w:sz w:val="22"/>
                <w:szCs w:val="22"/>
                <w:lang w:val="uk-UA"/>
              </w:rPr>
              <w:t>.</w:t>
            </w:r>
          </w:p>
          <w:p w14:paraId="7B0C201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68.31 Агентства нерухомості</w:t>
            </w:r>
          </w:p>
          <w:p w14:paraId="1B389BE7"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70.22 Консультування з питань комерційної діяльності й керування</w:t>
            </w:r>
          </w:p>
          <w:p w14:paraId="65C1BC9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71.12 Діяльність у сфері інжинірингу, геології та геодезії, надання послуг технічного консультування в цих сферах</w:t>
            </w:r>
          </w:p>
          <w:p w14:paraId="546BE3B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73.20 Дослідження кон'юнктури ринку та виявлення громадської думки</w:t>
            </w:r>
          </w:p>
          <w:p w14:paraId="4A0C941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66.22 Діяльність страхових агентів і брокерів</w:t>
            </w:r>
          </w:p>
          <w:p w14:paraId="5F9911D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74.90 Інша професійна, наукова та технічна діяльність, </w:t>
            </w:r>
            <w:proofErr w:type="spellStart"/>
            <w:r w:rsidRPr="004229C1">
              <w:rPr>
                <w:rFonts w:ascii="Times New Roman" w:hAnsi="Times New Roman" w:cs="Times New Roman"/>
                <w:kern w:val="0"/>
                <w:sz w:val="22"/>
                <w:szCs w:val="22"/>
                <w:lang w:val="uk-UA"/>
              </w:rPr>
              <w:t>н.в.і.у</w:t>
            </w:r>
            <w:proofErr w:type="spellEnd"/>
            <w:r w:rsidRPr="004229C1">
              <w:rPr>
                <w:rFonts w:ascii="Times New Roman" w:hAnsi="Times New Roman" w:cs="Times New Roman"/>
                <w:kern w:val="0"/>
                <w:sz w:val="22"/>
                <w:szCs w:val="22"/>
                <w:lang w:val="uk-UA"/>
              </w:rPr>
              <w:t>.</w:t>
            </w:r>
          </w:p>
        </w:tc>
      </w:tr>
      <w:tr w:rsidR="00D678E1" w:rsidRPr="004229C1" w14:paraId="11D77BC8" w14:textId="77777777" w:rsidTr="00D678E1">
        <w:trPr>
          <w:trHeight w:val="200"/>
        </w:trPr>
        <w:tc>
          <w:tcPr>
            <w:tcW w:w="5671" w:type="dxa"/>
            <w:tcBorders>
              <w:top w:val="single" w:sz="6" w:space="0" w:color="auto"/>
              <w:bottom w:val="single" w:sz="6" w:space="0" w:color="auto"/>
              <w:right w:val="single" w:sz="6" w:space="0" w:color="auto"/>
            </w:tcBorders>
          </w:tcPr>
          <w:p w14:paraId="433FE35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536" w:type="dxa"/>
            <w:tcBorders>
              <w:top w:val="single" w:sz="6" w:space="0" w:color="auto"/>
              <w:left w:val="single" w:sz="6" w:space="0" w:color="auto"/>
              <w:bottom w:val="single" w:sz="6" w:space="0" w:color="auto"/>
            </w:tcBorders>
          </w:tcPr>
          <w:p w14:paraId="0500FC3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Моніторинг заставного майна</w:t>
            </w:r>
          </w:p>
        </w:tc>
      </w:tr>
    </w:tbl>
    <w:p w14:paraId="12B45FE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
    <w:tbl>
      <w:tblPr>
        <w:tblW w:w="10207" w:type="dxa"/>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1"/>
        <w:gridCol w:w="4536"/>
      </w:tblGrid>
      <w:tr w:rsidR="00D678E1" w:rsidRPr="004229C1" w14:paraId="43B33B12" w14:textId="77777777" w:rsidTr="00D678E1">
        <w:trPr>
          <w:trHeight w:val="200"/>
        </w:trPr>
        <w:tc>
          <w:tcPr>
            <w:tcW w:w="5671" w:type="dxa"/>
            <w:tcBorders>
              <w:top w:val="single" w:sz="6" w:space="0" w:color="auto"/>
              <w:bottom w:val="single" w:sz="6" w:space="0" w:color="auto"/>
              <w:right w:val="single" w:sz="6" w:space="0" w:color="auto"/>
            </w:tcBorders>
          </w:tcPr>
          <w:p w14:paraId="66B0AD9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Повне найменування або ім'я особи</w:t>
            </w:r>
          </w:p>
        </w:tc>
        <w:tc>
          <w:tcPr>
            <w:tcW w:w="4536" w:type="dxa"/>
            <w:tcBorders>
              <w:top w:val="single" w:sz="6" w:space="0" w:color="auto"/>
              <w:left w:val="single" w:sz="6" w:space="0" w:color="auto"/>
              <w:bottom w:val="single" w:sz="6" w:space="0" w:color="auto"/>
            </w:tcBorders>
          </w:tcPr>
          <w:p w14:paraId="22FFA03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Товариство з обмеженою </w:t>
            </w:r>
            <w:proofErr w:type="spellStart"/>
            <w:r w:rsidRPr="004229C1">
              <w:rPr>
                <w:rFonts w:ascii="Times New Roman" w:hAnsi="Times New Roman" w:cs="Times New Roman"/>
                <w:kern w:val="0"/>
                <w:sz w:val="22"/>
                <w:szCs w:val="22"/>
                <w:lang w:val="uk-UA"/>
              </w:rPr>
              <w:t>вiдповiдальнiстю</w:t>
            </w:r>
            <w:proofErr w:type="spellEnd"/>
            <w:r w:rsidRPr="004229C1">
              <w:rPr>
                <w:rFonts w:ascii="Times New Roman" w:hAnsi="Times New Roman" w:cs="Times New Roman"/>
                <w:kern w:val="0"/>
                <w:sz w:val="22"/>
                <w:szCs w:val="22"/>
                <w:lang w:val="uk-UA"/>
              </w:rPr>
              <w:t xml:space="preserve"> "IНТЕЛЕКТ СОЛЮШНЗ"</w:t>
            </w:r>
          </w:p>
        </w:tc>
      </w:tr>
      <w:tr w:rsidR="00D678E1" w:rsidRPr="004229C1" w14:paraId="51C66046" w14:textId="77777777" w:rsidTr="00D678E1">
        <w:trPr>
          <w:trHeight w:val="200"/>
        </w:trPr>
        <w:tc>
          <w:tcPr>
            <w:tcW w:w="5671" w:type="dxa"/>
            <w:tcBorders>
              <w:top w:val="single" w:sz="6" w:space="0" w:color="auto"/>
              <w:bottom w:val="single" w:sz="6" w:space="0" w:color="auto"/>
              <w:right w:val="single" w:sz="6" w:space="0" w:color="auto"/>
            </w:tcBorders>
          </w:tcPr>
          <w:p w14:paraId="4DEE057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4536" w:type="dxa"/>
            <w:tcBorders>
              <w:top w:val="single" w:sz="6" w:space="0" w:color="auto"/>
              <w:left w:val="single" w:sz="6" w:space="0" w:color="auto"/>
              <w:bottom w:val="single" w:sz="6" w:space="0" w:color="auto"/>
            </w:tcBorders>
          </w:tcPr>
          <w:p w14:paraId="3F55987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7224322C" w14:textId="77777777" w:rsidTr="00D678E1">
        <w:trPr>
          <w:trHeight w:val="200"/>
        </w:trPr>
        <w:tc>
          <w:tcPr>
            <w:tcW w:w="5671" w:type="dxa"/>
            <w:tcBorders>
              <w:top w:val="single" w:sz="6" w:space="0" w:color="auto"/>
              <w:bottom w:val="single" w:sz="6" w:space="0" w:color="auto"/>
              <w:right w:val="single" w:sz="6" w:space="0" w:color="auto"/>
            </w:tcBorders>
          </w:tcPr>
          <w:p w14:paraId="426837DE"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4536" w:type="dxa"/>
            <w:tcBorders>
              <w:top w:val="single" w:sz="6" w:space="0" w:color="auto"/>
              <w:left w:val="single" w:sz="6" w:space="0" w:color="auto"/>
              <w:bottom w:val="single" w:sz="6" w:space="0" w:color="auto"/>
            </w:tcBorders>
          </w:tcPr>
          <w:p w14:paraId="333422B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p>
        </w:tc>
      </w:tr>
      <w:tr w:rsidR="00D678E1" w:rsidRPr="004229C1" w14:paraId="3985E336" w14:textId="77777777" w:rsidTr="00D678E1">
        <w:trPr>
          <w:trHeight w:val="200"/>
        </w:trPr>
        <w:tc>
          <w:tcPr>
            <w:tcW w:w="5671" w:type="dxa"/>
            <w:tcBorders>
              <w:top w:val="single" w:sz="6" w:space="0" w:color="auto"/>
              <w:bottom w:val="single" w:sz="6" w:space="0" w:color="auto"/>
              <w:right w:val="single" w:sz="6" w:space="0" w:color="auto"/>
            </w:tcBorders>
          </w:tcPr>
          <w:p w14:paraId="71A5B99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Організаційно-правова форма</w:t>
            </w:r>
          </w:p>
        </w:tc>
        <w:tc>
          <w:tcPr>
            <w:tcW w:w="4536" w:type="dxa"/>
            <w:tcBorders>
              <w:top w:val="single" w:sz="6" w:space="0" w:color="auto"/>
              <w:left w:val="single" w:sz="6" w:space="0" w:color="auto"/>
              <w:bottom w:val="single" w:sz="6" w:space="0" w:color="auto"/>
            </w:tcBorders>
          </w:tcPr>
          <w:p w14:paraId="7DCCEBF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Товариство з обмеженою відповідальністю</w:t>
            </w:r>
          </w:p>
        </w:tc>
      </w:tr>
      <w:tr w:rsidR="00D678E1" w:rsidRPr="004229C1" w14:paraId="66AEA74B" w14:textId="77777777" w:rsidTr="00D678E1">
        <w:trPr>
          <w:trHeight w:val="200"/>
        </w:trPr>
        <w:tc>
          <w:tcPr>
            <w:tcW w:w="5671" w:type="dxa"/>
            <w:tcBorders>
              <w:top w:val="single" w:sz="6" w:space="0" w:color="auto"/>
              <w:bottom w:val="single" w:sz="6" w:space="0" w:color="auto"/>
              <w:right w:val="single" w:sz="6" w:space="0" w:color="auto"/>
            </w:tcBorders>
          </w:tcPr>
          <w:p w14:paraId="606A5F2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Ідентифікаційний код юридичної особи</w:t>
            </w:r>
          </w:p>
        </w:tc>
        <w:tc>
          <w:tcPr>
            <w:tcW w:w="4536" w:type="dxa"/>
            <w:tcBorders>
              <w:top w:val="single" w:sz="6" w:space="0" w:color="auto"/>
              <w:left w:val="single" w:sz="6" w:space="0" w:color="auto"/>
              <w:bottom w:val="single" w:sz="6" w:space="0" w:color="auto"/>
            </w:tcBorders>
          </w:tcPr>
          <w:p w14:paraId="6BD1B236"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36202755</w:t>
            </w:r>
          </w:p>
        </w:tc>
      </w:tr>
      <w:tr w:rsidR="00D678E1" w:rsidRPr="004229C1" w14:paraId="55D896D0" w14:textId="77777777" w:rsidTr="00D678E1">
        <w:trPr>
          <w:trHeight w:val="200"/>
        </w:trPr>
        <w:tc>
          <w:tcPr>
            <w:tcW w:w="5671" w:type="dxa"/>
            <w:tcBorders>
              <w:top w:val="single" w:sz="6" w:space="0" w:color="auto"/>
              <w:bottom w:val="single" w:sz="6" w:space="0" w:color="auto"/>
              <w:right w:val="single" w:sz="6" w:space="0" w:color="auto"/>
            </w:tcBorders>
          </w:tcPr>
          <w:p w14:paraId="5554D4D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Місцезнаходження</w:t>
            </w:r>
          </w:p>
        </w:tc>
        <w:tc>
          <w:tcPr>
            <w:tcW w:w="4536" w:type="dxa"/>
            <w:tcBorders>
              <w:top w:val="single" w:sz="6" w:space="0" w:color="auto"/>
              <w:left w:val="single" w:sz="6" w:space="0" w:color="auto"/>
              <w:bottom w:val="single" w:sz="6" w:space="0" w:color="auto"/>
            </w:tcBorders>
          </w:tcPr>
          <w:p w14:paraId="32753755"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03061, Україна, м. Київ, </w:t>
            </w:r>
            <w:r w:rsidRPr="004229C1">
              <w:rPr>
                <w:rFonts w:ascii="Times New Roman" w:hAnsi="Times New Roman" w:cs="Times New Roman"/>
                <w:kern w:val="0"/>
                <w:sz w:val="22"/>
                <w:szCs w:val="22"/>
                <w:lang w:val="uk-UA"/>
              </w:rPr>
              <w:br/>
              <w:t xml:space="preserve">вул. Пост-Волинська, 3, </w:t>
            </w:r>
            <w:proofErr w:type="spellStart"/>
            <w:r w:rsidRPr="004229C1">
              <w:rPr>
                <w:rFonts w:ascii="Times New Roman" w:hAnsi="Times New Roman" w:cs="Times New Roman"/>
                <w:kern w:val="0"/>
                <w:sz w:val="22"/>
                <w:szCs w:val="22"/>
                <w:lang w:val="uk-UA"/>
              </w:rPr>
              <w:t>офiс</w:t>
            </w:r>
            <w:proofErr w:type="spellEnd"/>
            <w:r w:rsidRPr="004229C1">
              <w:rPr>
                <w:rFonts w:ascii="Times New Roman" w:hAnsi="Times New Roman" w:cs="Times New Roman"/>
                <w:kern w:val="0"/>
                <w:sz w:val="22"/>
                <w:szCs w:val="22"/>
                <w:lang w:val="uk-UA"/>
              </w:rPr>
              <w:t xml:space="preserve"> 35</w:t>
            </w:r>
          </w:p>
        </w:tc>
      </w:tr>
      <w:tr w:rsidR="00D678E1" w:rsidRPr="004229C1" w14:paraId="502D220E" w14:textId="77777777" w:rsidTr="00D678E1">
        <w:trPr>
          <w:trHeight w:val="200"/>
        </w:trPr>
        <w:tc>
          <w:tcPr>
            <w:tcW w:w="5671" w:type="dxa"/>
            <w:tcBorders>
              <w:top w:val="single" w:sz="6" w:space="0" w:color="auto"/>
              <w:bottom w:val="single" w:sz="6" w:space="0" w:color="auto"/>
              <w:right w:val="single" w:sz="6" w:space="0" w:color="auto"/>
            </w:tcBorders>
          </w:tcPr>
          <w:p w14:paraId="711E88B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ліцензії або іншого документа на цей вид діяльності</w:t>
            </w:r>
          </w:p>
        </w:tc>
        <w:tc>
          <w:tcPr>
            <w:tcW w:w="4536" w:type="dxa"/>
            <w:tcBorders>
              <w:top w:val="single" w:sz="6" w:space="0" w:color="auto"/>
              <w:left w:val="single" w:sz="6" w:space="0" w:color="auto"/>
              <w:bottom w:val="single" w:sz="6" w:space="0" w:color="auto"/>
            </w:tcBorders>
            <w:vAlign w:val="center"/>
          </w:tcPr>
          <w:p w14:paraId="3B6FEEE9"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Сертифiкат</w:t>
            </w:r>
            <w:proofErr w:type="spellEnd"/>
            <w:r w:rsidRPr="004229C1">
              <w:rPr>
                <w:rFonts w:ascii="Times New Roman" w:hAnsi="Times New Roman" w:cs="Times New Roman"/>
                <w:kern w:val="0"/>
                <w:sz w:val="22"/>
                <w:szCs w:val="22"/>
                <w:lang w:val="uk-UA"/>
              </w:rPr>
              <w:t xml:space="preserve"> № 78/2024</w:t>
            </w:r>
          </w:p>
        </w:tc>
      </w:tr>
      <w:tr w:rsidR="00D678E1" w:rsidRPr="004229C1" w14:paraId="0DC61E00" w14:textId="77777777" w:rsidTr="00D678E1">
        <w:trPr>
          <w:trHeight w:val="200"/>
        </w:trPr>
        <w:tc>
          <w:tcPr>
            <w:tcW w:w="5671" w:type="dxa"/>
            <w:tcBorders>
              <w:top w:val="single" w:sz="6" w:space="0" w:color="auto"/>
              <w:bottom w:val="single" w:sz="6" w:space="0" w:color="auto"/>
              <w:right w:val="single" w:sz="6" w:space="0" w:color="auto"/>
            </w:tcBorders>
          </w:tcPr>
          <w:p w14:paraId="6E8062E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державного органу, що видав ліцензію або інший документ</w:t>
            </w:r>
          </w:p>
        </w:tc>
        <w:tc>
          <w:tcPr>
            <w:tcW w:w="4536" w:type="dxa"/>
            <w:tcBorders>
              <w:top w:val="single" w:sz="6" w:space="0" w:color="auto"/>
              <w:left w:val="single" w:sz="6" w:space="0" w:color="auto"/>
              <w:bottom w:val="single" w:sz="6" w:space="0" w:color="auto"/>
            </w:tcBorders>
            <w:vAlign w:val="center"/>
          </w:tcPr>
          <w:p w14:paraId="4E5E2BE0"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Фонд державного майна України</w:t>
            </w:r>
          </w:p>
        </w:tc>
      </w:tr>
      <w:tr w:rsidR="00D678E1" w:rsidRPr="004229C1" w14:paraId="390E1C35" w14:textId="77777777" w:rsidTr="00D678E1">
        <w:trPr>
          <w:trHeight w:val="200"/>
        </w:trPr>
        <w:tc>
          <w:tcPr>
            <w:tcW w:w="5671" w:type="dxa"/>
            <w:tcBorders>
              <w:top w:val="single" w:sz="6" w:space="0" w:color="auto"/>
              <w:bottom w:val="single" w:sz="6" w:space="0" w:color="auto"/>
              <w:right w:val="single" w:sz="6" w:space="0" w:color="auto"/>
            </w:tcBorders>
          </w:tcPr>
          <w:p w14:paraId="04798F84"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видачі ліцензії або іншого документа</w:t>
            </w:r>
          </w:p>
        </w:tc>
        <w:tc>
          <w:tcPr>
            <w:tcW w:w="4536" w:type="dxa"/>
            <w:tcBorders>
              <w:top w:val="single" w:sz="6" w:space="0" w:color="auto"/>
              <w:left w:val="single" w:sz="6" w:space="0" w:color="auto"/>
              <w:bottom w:val="single" w:sz="6" w:space="0" w:color="auto"/>
            </w:tcBorders>
            <w:vAlign w:val="center"/>
          </w:tcPr>
          <w:p w14:paraId="46836031"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15.02.2024</w:t>
            </w:r>
          </w:p>
        </w:tc>
      </w:tr>
      <w:tr w:rsidR="00D678E1" w:rsidRPr="004229C1" w14:paraId="7C6FE08A" w14:textId="77777777" w:rsidTr="00D678E1">
        <w:trPr>
          <w:trHeight w:val="200"/>
        </w:trPr>
        <w:tc>
          <w:tcPr>
            <w:tcW w:w="5671" w:type="dxa"/>
            <w:tcBorders>
              <w:top w:val="single" w:sz="6" w:space="0" w:color="auto"/>
              <w:bottom w:val="single" w:sz="6" w:space="0" w:color="auto"/>
              <w:right w:val="single" w:sz="6" w:space="0" w:color="auto"/>
            </w:tcBorders>
          </w:tcPr>
          <w:p w14:paraId="6D5CE003"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телефону</w:t>
            </w:r>
          </w:p>
        </w:tc>
        <w:tc>
          <w:tcPr>
            <w:tcW w:w="4536" w:type="dxa"/>
            <w:tcBorders>
              <w:top w:val="single" w:sz="6" w:space="0" w:color="auto"/>
              <w:left w:val="single" w:sz="6" w:space="0" w:color="auto"/>
              <w:bottom w:val="single" w:sz="6" w:space="0" w:color="auto"/>
            </w:tcBorders>
          </w:tcPr>
          <w:p w14:paraId="1F0ACD3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+38 (044) 3903113</w:t>
            </w:r>
            <w:r w:rsidRPr="004229C1">
              <w:rPr>
                <w:rFonts w:ascii="Times New Roman" w:hAnsi="Times New Roman" w:cs="Times New Roman"/>
                <w:kern w:val="0"/>
                <w:sz w:val="22"/>
                <w:szCs w:val="22"/>
                <w:lang w:val="uk-UA"/>
              </w:rPr>
              <w:br/>
              <w:t>+38 (095) 3952526</w:t>
            </w:r>
          </w:p>
        </w:tc>
      </w:tr>
      <w:tr w:rsidR="00D678E1" w:rsidRPr="004229C1" w14:paraId="185BF000" w14:textId="77777777" w:rsidTr="00D678E1">
        <w:trPr>
          <w:trHeight w:val="200"/>
        </w:trPr>
        <w:tc>
          <w:tcPr>
            <w:tcW w:w="5671" w:type="dxa"/>
            <w:tcBorders>
              <w:top w:val="single" w:sz="6" w:space="0" w:color="auto"/>
              <w:bottom w:val="single" w:sz="6" w:space="0" w:color="auto"/>
              <w:right w:val="single" w:sz="6" w:space="0" w:color="auto"/>
            </w:tcBorders>
          </w:tcPr>
          <w:p w14:paraId="6B06105B"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види діяльності із зазначенням їх найменування та коду за КВЕД</w:t>
            </w:r>
          </w:p>
        </w:tc>
        <w:tc>
          <w:tcPr>
            <w:tcW w:w="4536" w:type="dxa"/>
            <w:tcBorders>
              <w:top w:val="single" w:sz="6" w:space="0" w:color="auto"/>
              <w:left w:val="single" w:sz="6" w:space="0" w:color="auto"/>
              <w:bottom w:val="single" w:sz="6" w:space="0" w:color="auto"/>
            </w:tcBorders>
          </w:tcPr>
          <w:p w14:paraId="62AE6792"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74.90 - </w:t>
            </w:r>
            <w:proofErr w:type="spellStart"/>
            <w:r w:rsidRPr="004229C1">
              <w:rPr>
                <w:rFonts w:ascii="Times New Roman" w:hAnsi="Times New Roman" w:cs="Times New Roman"/>
                <w:kern w:val="0"/>
                <w:sz w:val="22"/>
                <w:szCs w:val="22"/>
                <w:lang w:val="uk-UA"/>
              </w:rPr>
              <w:t>Iнша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професiйна</w:t>
            </w:r>
            <w:proofErr w:type="spellEnd"/>
            <w:r w:rsidRPr="004229C1">
              <w:rPr>
                <w:rFonts w:ascii="Times New Roman" w:hAnsi="Times New Roman" w:cs="Times New Roman"/>
                <w:kern w:val="0"/>
                <w:sz w:val="22"/>
                <w:szCs w:val="22"/>
                <w:lang w:val="uk-UA"/>
              </w:rPr>
              <w:t xml:space="preserve">, наукова та </w:t>
            </w:r>
            <w:proofErr w:type="spellStart"/>
            <w:r w:rsidRPr="004229C1">
              <w:rPr>
                <w:rFonts w:ascii="Times New Roman" w:hAnsi="Times New Roman" w:cs="Times New Roman"/>
                <w:kern w:val="0"/>
                <w:sz w:val="22"/>
                <w:szCs w:val="22"/>
                <w:lang w:val="uk-UA"/>
              </w:rPr>
              <w:t>технiчна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н. в. i. у.</w:t>
            </w:r>
          </w:p>
          <w:p w14:paraId="57C83743"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63.11 - Оброблення даних, </w:t>
            </w:r>
            <w:proofErr w:type="spellStart"/>
            <w:r w:rsidRPr="004229C1">
              <w:rPr>
                <w:rFonts w:ascii="Times New Roman" w:hAnsi="Times New Roman" w:cs="Times New Roman"/>
                <w:kern w:val="0"/>
                <w:sz w:val="22"/>
                <w:szCs w:val="22"/>
                <w:lang w:val="uk-UA"/>
              </w:rPr>
              <w:t>розмiщення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iнформацiї</w:t>
            </w:r>
            <w:proofErr w:type="spellEnd"/>
            <w:r w:rsidRPr="004229C1">
              <w:rPr>
                <w:rFonts w:ascii="Times New Roman" w:hAnsi="Times New Roman" w:cs="Times New Roman"/>
                <w:kern w:val="0"/>
                <w:sz w:val="22"/>
                <w:szCs w:val="22"/>
                <w:lang w:val="uk-UA"/>
              </w:rPr>
              <w:t xml:space="preserve"> на веб-вузлах i пов'язана з ними </w:t>
            </w:r>
            <w:proofErr w:type="spellStart"/>
            <w:r w:rsidRPr="004229C1">
              <w:rPr>
                <w:rFonts w:ascii="Times New Roman" w:hAnsi="Times New Roman" w:cs="Times New Roman"/>
                <w:kern w:val="0"/>
                <w:sz w:val="22"/>
                <w:szCs w:val="22"/>
                <w:lang w:val="uk-UA"/>
              </w:rPr>
              <w:t>дiяльнiсть</w:t>
            </w:r>
            <w:proofErr w:type="spellEnd"/>
          </w:p>
          <w:p w14:paraId="36FCDC68"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68.31 - Агентства </w:t>
            </w:r>
            <w:proofErr w:type="spellStart"/>
            <w:r w:rsidRPr="004229C1">
              <w:rPr>
                <w:rFonts w:ascii="Times New Roman" w:hAnsi="Times New Roman" w:cs="Times New Roman"/>
                <w:kern w:val="0"/>
                <w:sz w:val="22"/>
                <w:szCs w:val="22"/>
                <w:lang w:val="uk-UA"/>
              </w:rPr>
              <w:t>нерухомостi</w:t>
            </w:r>
            <w:proofErr w:type="spellEnd"/>
          </w:p>
          <w:p w14:paraId="1DA05E2C"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70.22 – Консультування з питань комерційної діяльності й керування</w:t>
            </w:r>
          </w:p>
          <w:p w14:paraId="2C49700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71.12 – Діяльність у сфері інжинірингу, геології та геодезії, надання послуг технічного консультування в цих сферах</w:t>
            </w:r>
          </w:p>
        </w:tc>
      </w:tr>
      <w:tr w:rsidR="00D678E1" w:rsidRPr="004229C1" w14:paraId="50C06E06" w14:textId="77777777" w:rsidTr="00D678E1">
        <w:trPr>
          <w:trHeight w:val="200"/>
        </w:trPr>
        <w:tc>
          <w:tcPr>
            <w:tcW w:w="5671" w:type="dxa"/>
            <w:tcBorders>
              <w:top w:val="single" w:sz="6" w:space="0" w:color="auto"/>
              <w:bottom w:val="single" w:sz="6" w:space="0" w:color="auto"/>
              <w:right w:val="single" w:sz="6" w:space="0" w:color="auto"/>
            </w:tcBorders>
          </w:tcPr>
          <w:p w14:paraId="1A12E49A"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послуг, які надає особа</w:t>
            </w:r>
          </w:p>
        </w:tc>
        <w:tc>
          <w:tcPr>
            <w:tcW w:w="4536" w:type="dxa"/>
            <w:tcBorders>
              <w:top w:val="single" w:sz="6" w:space="0" w:color="auto"/>
              <w:left w:val="single" w:sz="6" w:space="0" w:color="auto"/>
              <w:bottom w:val="single" w:sz="6" w:space="0" w:color="auto"/>
            </w:tcBorders>
          </w:tcPr>
          <w:p w14:paraId="61D8AF0D" w14:textId="77777777" w:rsidR="00D678E1" w:rsidRPr="004229C1" w:rsidRDefault="00D678E1" w:rsidP="00D678E1">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Оцiнка</w:t>
            </w:r>
            <w:proofErr w:type="spellEnd"/>
            <w:r w:rsidRPr="004229C1">
              <w:rPr>
                <w:rFonts w:ascii="Times New Roman" w:hAnsi="Times New Roman" w:cs="Times New Roman"/>
                <w:kern w:val="0"/>
                <w:sz w:val="22"/>
                <w:szCs w:val="22"/>
                <w:lang w:val="uk-UA"/>
              </w:rPr>
              <w:t xml:space="preserve"> заставного майна;</w:t>
            </w:r>
          </w:p>
        </w:tc>
      </w:tr>
    </w:tbl>
    <w:p w14:paraId="2AE6F35C" w14:textId="77777777" w:rsidR="00F93FA5" w:rsidRPr="004229C1" w:rsidRDefault="00F93FA5">
      <w:pPr>
        <w:widowControl w:val="0"/>
        <w:autoSpaceDE w:val="0"/>
        <w:autoSpaceDN w:val="0"/>
        <w:adjustRightInd w:val="0"/>
        <w:spacing w:after="0" w:line="240" w:lineRule="auto"/>
        <w:rPr>
          <w:rFonts w:ascii="Times New Roman" w:hAnsi="Times New Roman" w:cs="Times New Roman"/>
          <w:kern w:val="0"/>
          <w:sz w:val="22"/>
          <w:szCs w:val="22"/>
          <w:lang w:val="uk-UA"/>
        </w:rPr>
        <w:sectPr w:rsidR="00F93FA5" w:rsidRPr="004229C1">
          <w:pgSz w:w="11905" w:h="16837" w:orient="landscape"/>
          <w:pgMar w:top="570" w:right="720" w:bottom="570" w:left="720" w:header="720" w:footer="720" w:gutter="0"/>
          <w:cols w:space="720"/>
          <w:noEndnote/>
        </w:sectPr>
      </w:pPr>
    </w:p>
    <w:p w14:paraId="7912DAD3" w14:textId="77777777" w:rsidR="007469BF" w:rsidRPr="004229C1" w:rsidRDefault="000B08A7" w:rsidP="00394FCC">
      <w:pPr>
        <w:pStyle w:val="Heading2"/>
        <w:rPr>
          <w:rFonts w:cs="Times New Roman"/>
          <w:lang w:val="uk-UA"/>
        </w:rPr>
      </w:pPr>
      <w:bookmarkStart w:id="11" w:name="_Toc200057387"/>
      <w:r w:rsidRPr="004229C1">
        <w:rPr>
          <w:rFonts w:cs="Times New Roman"/>
          <w:lang w:val="uk-UA"/>
        </w:rPr>
        <w:t>6. Відокремлені підрозділи</w:t>
      </w:r>
      <w:bookmarkEnd w:id="11"/>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794"/>
        <w:gridCol w:w="2268"/>
        <w:gridCol w:w="2977"/>
        <w:gridCol w:w="7861"/>
      </w:tblGrid>
      <w:tr w:rsidR="007469BF" w:rsidRPr="004229C1" w14:paraId="6B1EB8F8" w14:textId="77777777" w:rsidTr="004A3B2B">
        <w:trPr>
          <w:trHeight w:val="200"/>
        </w:trPr>
        <w:tc>
          <w:tcPr>
            <w:tcW w:w="500" w:type="dxa"/>
            <w:tcBorders>
              <w:top w:val="single" w:sz="6" w:space="0" w:color="auto"/>
              <w:bottom w:val="single" w:sz="6" w:space="0" w:color="auto"/>
              <w:right w:val="single" w:sz="6" w:space="0" w:color="auto"/>
            </w:tcBorders>
            <w:vAlign w:val="center"/>
          </w:tcPr>
          <w:p w14:paraId="6361B8A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з/п</w:t>
            </w:r>
          </w:p>
        </w:tc>
        <w:tc>
          <w:tcPr>
            <w:tcW w:w="1794" w:type="dxa"/>
            <w:tcBorders>
              <w:top w:val="single" w:sz="6" w:space="0" w:color="auto"/>
              <w:left w:val="single" w:sz="6" w:space="0" w:color="auto"/>
              <w:bottom w:val="single" w:sz="6" w:space="0" w:color="auto"/>
              <w:right w:val="single" w:sz="6" w:space="0" w:color="auto"/>
            </w:tcBorders>
            <w:vAlign w:val="center"/>
          </w:tcPr>
          <w:p w14:paraId="36F5BD0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Найменування відокремленого підрозділу</w:t>
            </w:r>
          </w:p>
        </w:tc>
        <w:tc>
          <w:tcPr>
            <w:tcW w:w="2268" w:type="dxa"/>
            <w:tcBorders>
              <w:top w:val="single" w:sz="6" w:space="0" w:color="auto"/>
              <w:left w:val="single" w:sz="6" w:space="0" w:color="auto"/>
              <w:bottom w:val="single" w:sz="6" w:space="0" w:color="auto"/>
              <w:right w:val="single" w:sz="6" w:space="0" w:color="auto"/>
            </w:tcBorders>
            <w:vAlign w:val="center"/>
          </w:tcPr>
          <w:p w14:paraId="0C609D2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Тип (філія, представництво, відділення тощо)</w:t>
            </w:r>
          </w:p>
        </w:tc>
        <w:tc>
          <w:tcPr>
            <w:tcW w:w="2977" w:type="dxa"/>
            <w:tcBorders>
              <w:top w:val="single" w:sz="6" w:space="0" w:color="auto"/>
              <w:left w:val="single" w:sz="6" w:space="0" w:color="auto"/>
              <w:bottom w:val="single" w:sz="6" w:space="0" w:color="auto"/>
              <w:right w:val="single" w:sz="6" w:space="0" w:color="auto"/>
            </w:tcBorders>
            <w:vAlign w:val="center"/>
          </w:tcPr>
          <w:p w14:paraId="7179366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Місцезнаходження</w:t>
            </w:r>
          </w:p>
        </w:tc>
        <w:tc>
          <w:tcPr>
            <w:tcW w:w="7861" w:type="dxa"/>
            <w:tcBorders>
              <w:top w:val="single" w:sz="6" w:space="0" w:color="auto"/>
              <w:left w:val="single" w:sz="6" w:space="0" w:color="auto"/>
              <w:bottom w:val="single" w:sz="6" w:space="0" w:color="auto"/>
            </w:tcBorders>
            <w:vAlign w:val="center"/>
          </w:tcPr>
          <w:p w14:paraId="5228324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Функції відокремленого підрозділу</w:t>
            </w:r>
          </w:p>
        </w:tc>
      </w:tr>
      <w:tr w:rsidR="007469BF" w:rsidRPr="004229C1" w14:paraId="3A96BD0C" w14:textId="77777777" w:rsidTr="004A3B2B">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14AAEBB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p>
        </w:tc>
        <w:tc>
          <w:tcPr>
            <w:tcW w:w="1794" w:type="dxa"/>
            <w:tcBorders>
              <w:top w:val="single" w:sz="6" w:space="0" w:color="auto"/>
              <w:left w:val="single" w:sz="6" w:space="0" w:color="auto"/>
              <w:bottom w:val="single" w:sz="6" w:space="0" w:color="auto"/>
              <w:right w:val="single" w:sz="6" w:space="0" w:color="auto"/>
            </w:tcBorders>
            <w:vAlign w:val="center"/>
          </w:tcPr>
          <w:p w14:paraId="7C22B65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p>
        </w:tc>
        <w:tc>
          <w:tcPr>
            <w:tcW w:w="2268" w:type="dxa"/>
            <w:tcBorders>
              <w:top w:val="single" w:sz="6" w:space="0" w:color="auto"/>
              <w:left w:val="single" w:sz="6" w:space="0" w:color="auto"/>
              <w:bottom w:val="single" w:sz="6" w:space="0" w:color="auto"/>
              <w:right w:val="single" w:sz="6" w:space="0" w:color="auto"/>
            </w:tcBorders>
            <w:vAlign w:val="center"/>
          </w:tcPr>
          <w:p w14:paraId="5ABAB53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p>
        </w:tc>
        <w:tc>
          <w:tcPr>
            <w:tcW w:w="2977" w:type="dxa"/>
            <w:tcBorders>
              <w:top w:val="single" w:sz="6" w:space="0" w:color="auto"/>
              <w:left w:val="single" w:sz="6" w:space="0" w:color="auto"/>
              <w:bottom w:val="single" w:sz="6" w:space="0" w:color="auto"/>
              <w:right w:val="single" w:sz="6" w:space="0" w:color="auto"/>
            </w:tcBorders>
            <w:vAlign w:val="center"/>
          </w:tcPr>
          <w:p w14:paraId="47C62DF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4</w:t>
            </w:r>
          </w:p>
        </w:tc>
        <w:tc>
          <w:tcPr>
            <w:tcW w:w="7861" w:type="dxa"/>
            <w:tcBorders>
              <w:top w:val="single" w:sz="6" w:space="0" w:color="auto"/>
              <w:left w:val="single" w:sz="6" w:space="0" w:color="auto"/>
              <w:bottom w:val="single" w:sz="6" w:space="0" w:color="auto"/>
            </w:tcBorders>
            <w:vAlign w:val="center"/>
          </w:tcPr>
          <w:p w14:paraId="18DEE8D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5</w:t>
            </w:r>
          </w:p>
        </w:tc>
      </w:tr>
      <w:tr w:rsidR="007469BF" w:rsidRPr="004229C1" w14:paraId="4C69C074" w14:textId="77777777" w:rsidTr="004A3B2B">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43DF3965" w14:textId="7EA27EAB"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1794" w:type="dxa"/>
            <w:tcBorders>
              <w:top w:val="single" w:sz="6" w:space="0" w:color="auto"/>
              <w:left w:val="single" w:sz="6" w:space="0" w:color="auto"/>
              <w:bottom w:val="single" w:sz="6" w:space="0" w:color="auto"/>
              <w:right w:val="single" w:sz="6" w:space="0" w:color="auto"/>
            </w:tcBorders>
            <w:vAlign w:val="center"/>
          </w:tcPr>
          <w:p w14:paraId="65A9AED5" w14:textId="3AE26F9D"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2268" w:type="dxa"/>
            <w:tcBorders>
              <w:top w:val="single" w:sz="6" w:space="0" w:color="auto"/>
              <w:left w:val="single" w:sz="6" w:space="0" w:color="auto"/>
              <w:bottom w:val="single" w:sz="6" w:space="0" w:color="auto"/>
              <w:right w:val="single" w:sz="6" w:space="0" w:color="auto"/>
            </w:tcBorders>
            <w:vAlign w:val="center"/>
          </w:tcPr>
          <w:p w14:paraId="39A504BC" w14:textId="1BE0BFDD"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2977" w:type="dxa"/>
            <w:tcBorders>
              <w:top w:val="single" w:sz="6" w:space="0" w:color="auto"/>
              <w:left w:val="single" w:sz="6" w:space="0" w:color="auto"/>
              <w:bottom w:val="single" w:sz="6" w:space="0" w:color="auto"/>
              <w:right w:val="single" w:sz="6" w:space="0" w:color="auto"/>
            </w:tcBorders>
            <w:vAlign w:val="center"/>
          </w:tcPr>
          <w:p w14:paraId="0AB37498" w14:textId="182D555C"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w:t>
            </w:r>
          </w:p>
        </w:tc>
        <w:tc>
          <w:tcPr>
            <w:tcW w:w="7861" w:type="dxa"/>
            <w:tcBorders>
              <w:top w:val="single" w:sz="6" w:space="0" w:color="auto"/>
              <w:left w:val="single" w:sz="6" w:space="0" w:color="auto"/>
              <w:bottom w:val="single" w:sz="6" w:space="0" w:color="auto"/>
            </w:tcBorders>
            <w:vAlign w:val="center"/>
          </w:tcPr>
          <w:p w14:paraId="4DFE828A" w14:textId="687B1233" w:rsidR="007A32D8" w:rsidRPr="004229C1" w:rsidRDefault="003A68F5" w:rsidP="004A3B2B">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Всі відділення Банку здійснюють наступні основні </w:t>
            </w:r>
            <w:r w:rsidR="00983BC5" w:rsidRPr="004229C1">
              <w:rPr>
                <w:rFonts w:ascii="Times New Roman" w:hAnsi="Times New Roman" w:cs="Times New Roman"/>
                <w:kern w:val="0"/>
                <w:sz w:val="20"/>
                <w:szCs w:val="20"/>
                <w:lang w:val="uk-UA"/>
              </w:rPr>
              <w:t xml:space="preserve">функції </w:t>
            </w:r>
          </w:p>
          <w:p w14:paraId="39D411CC"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2.3.</w:t>
            </w:r>
            <w:r w:rsidRPr="004229C1">
              <w:rPr>
                <w:rFonts w:ascii="Times New Roman" w:hAnsi="Times New Roman" w:cs="Times New Roman"/>
                <w:kern w:val="0"/>
                <w:sz w:val="20"/>
                <w:szCs w:val="20"/>
                <w:lang w:val="uk-UA"/>
              </w:rPr>
              <w:tab/>
              <w:t xml:space="preserve">Відділення надає такі банківські послуги: </w:t>
            </w:r>
          </w:p>
          <w:p w14:paraId="17BB7FA0"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r w:rsidRPr="004229C1">
              <w:rPr>
                <w:rFonts w:ascii="Times New Roman" w:hAnsi="Times New Roman" w:cs="Times New Roman"/>
                <w:kern w:val="0"/>
                <w:sz w:val="20"/>
                <w:szCs w:val="20"/>
                <w:lang w:val="uk-UA"/>
              </w:rPr>
              <w:tab/>
              <w:t xml:space="preserve">залучення у вклади (депозити) коштів та банківських металів від необмеженого кола юридичних і фізичних осіб (крім банків); </w:t>
            </w:r>
          </w:p>
          <w:p w14:paraId="0F1BDFAA"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r w:rsidRPr="004229C1">
              <w:rPr>
                <w:rFonts w:ascii="Times New Roman" w:hAnsi="Times New Roman" w:cs="Times New Roman"/>
                <w:kern w:val="0"/>
                <w:sz w:val="20"/>
                <w:szCs w:val="20"/>
                <w:lang w:val="uk-UA"/>
              </w:rPr>
              <w:tab/>
              <w:t xml:space="preserve">відкриття та ведення поточних (розрахункових, кореспондентських) рахунків клієнтів, у тому числі у банківських металах, та рахунків умовного зберігання (ескроу); </w:t>
            </w:r>
          </w:p>
          <w:p w14:paraId="3B603BA0"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r w:rsidRPr="004229C1">
              <w:rPr>
                <w:rFonts w:ascii="Times New Roman" w:hAnsi="Times New Roman" w:cs="Times New Roman"/>
                <w:kern w:val="0"/>
                <w:sz w:val="20"/>
                <w:szCs w:val="20"/>
                <w:lang w:val="uk-UA"/>
              </w:rPr>
              <w:tab/>
              <w:t>розміщення залучених у вклади (депозити), у тому числі на поточні рахунки, коштів та банківських металів.</w:t>
            </w:r>
          </w:p>
          <w:p w14:paraId="75DC2BCF"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2.4.</w:t>
            </w:r>
            <w:r w:rsidRPr="004229C1">
              <w:rPr>
                <w:rFonts w:ascii="Times New Roman" w:hAnsi="Times New Roman" w:cs="Times New Roman"/>
                <w:kern w:val="0"/>
                <w:sz w:val="20"/>
                <w:szCs w:val="20"/>
                <w:lang w:val="uk-UA"/>
              </w:rPr>
              <w:tab/>
              <w:t>Відділення надає платіжні послуги.</w:t>
            </w:r>
          </w:p>
          <w:p w14:paraId="1A89975E"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2.5.</w:t>
            </w:r>
            <w:r w:rsidRPr="004229C1">
              <w:rPr>
                <w:rFonts w:ascii="Times New Roman" w:hAnsi="Times New Roman" w:cs="Times New Roman"/>
                <w:kern w:val="0"/>
                <w:sz w:val="20"/>
                <w:szCs w:val="20"/>
                <w:lang w:val="uk-UA"/>
              </w:rPr>
              <w:tab/>
              <w:t>Відділення в межах повноважень, наданих Банком, надає інші фінансові послуги (крім страхування) відповідно до закону України, що встановлює загальні засади функціонування ринку фінансових послуг.</w:t>
            </w:r>
          </w:p>
          <w:p w14:paraId="2B80ABAB"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2.6.</w:t>
            </w:r>
            <w:r w:rsidRPr="004229C1">
              <w:rPr>
                <w:rFonts w:ascii="Times New Roman" w:hAnsi="Times New Roman" w:cs="Times New Roman"/>
                <w:kern w:val="0"/>
                <w:sz w:val="20"/>
                <w:szCs w:val="20"/>
                <w:lang w:val="uk-UA"/>
              </w:rPr>
              <w:tab/>
              <w:t xml:space="preserve">Відділення, крім надання фінансових послуг, має право здійснювати також діяльність щодо: </w:t>
            </w:r>
          </w:p>
          <w:p w14:paraId="024693A5"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(1)</w:t>
            </w:r>
            <w:r w:rsidRPr="004229C1">
              <w:rPr>
                <w:rFonts w:ascii="Times New Roman" w:hAnsi="Times New Roman" w:cs="Times New Roman"/>
                <w:kern w:val="0"/>
                <w:sz w:val="20"/>
                <w:szCs w:val="20"/>
                <w:lang w:val="uk-UA"/>
              </w:rPr>
              <w:tab/>
              <w:t xml:space="preserve">зберігання цінностей (у тому числі щодо обліку і зберігання цінних паперів та інших </w:t>
            </w:r>
            <w:proofErr w:type="spellStart"/>
            <w:r w:rsidRPr="004229C1">
              <w:rPr>
                <w:rFonts w:ascii="Times New Roman" w:hAnsi="Times New Roman" w:cs="Times New Roman"/>
                <w:kern w:val="0"/>
                <w:sz w:val="20"/>
                <w:szCs w:val="20"/>
                <w:lang w:val="uk-UA"/>
              </w:rPr>
              <w:t>коштовностей</w:t>
            </w:r>
            <w:proofErr w:type="spellEnd"/>
            <w:r w:rsidRPr="004229C1">
              <w:rPr>
                <w:rFonts w:ascii="Times New Roman" w:hAnsi="Times New Roman" w:cs="Times New Roman"/>
                <w:kern w:val="0"/>
                <w:sz w:val="20"/>
                <w:szCs w:val="20"/>
                <w:lang w:val="uk-UA"/>
              </w:rPr>
              <w:t xml:space="preserve">, конфіскованих (заарештованих) на користь держави та/або визнаних безхазяйними) або надання в майновий </w:t>
            </w:r>
            <w:proofErr w:type="spellStart"/>
            <w:r w:rsidRPr="004229C1">
              <w:rPr>
                <w:rFonts w:ascii="Times New Roman" w:hAnsi="Times New Roman" w:cs="Times New Roman"/>
                <w:kern w:val="0"/>
                <w:sz w:val="20"/>
                <w:szCs w:val="20"/>
                <w:lang w:val="uk-UA"/>
              </w:rPr>
              <w:t>найм</w:t>
            </w:r>
            <w:proofErr w:type="spellEnd"/>
            <w:r w:rsidRPr="004229C1">
              <w:rPr>
                <w:rFonts w:ascii="Times New Roman" w:hAnsi="Times New Roman" w:cs="Times New Roman"/>
                <w:kern w:val="0"/>
                <w:sz w:val="20"/>
                <w:szCs w:val="20"/>
                <w:lang w:val="uk-UA"/>
              </w:rPr>
              <w:t xml:space="preserve"> (оренду) індивідуального банківського сейфа;</w:t>
            </w:r>
          </w:p>
          <w:p w14:paraId="689AD038" w14:textId="77777777" w:rsidR="000D43D3" w:rsidRPr="004229C1" w:rsidRDefault="000D43D3" w:rsidP="000D43D3">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(2)</w:t>
            </w:r>
            <w:r w:rsidRPr="004229C1">
              <w:rPr>
                <w:rFonts w:ascii="Times New Roman" w:hAnsi="Times New Roman" w:cs="Times New Roman"/>
                <w:kern w:val="0"/>
                <w:sz w:val="20"/>
                <w:szCs w:val="20"/>
                <w:lang w:val="uk-UA"/>
              </w:rPr>
              <w:tab/>
              <w:t xml:space="preserve">інкасації коштів та перевезення валютних цінностей; </w:t>
            </w:r>
          </w:p>
          <w:p w14:paraId="41614A3C" w14:textId="795AD5E8" w:rsidR="007469BF" w:rsidRPr="004229C1" w:rsidRDefault="000D43D3" w:rsidP="004A3B2B">
            <w:pPr>
              <w:widowControl w:val="0"/>
              <w:autoSpaceDE w:val="0"/>
              <w:autoSpaceDN w:val="0"/>
              <w:adjustRightInd w:val="0"/>
              <w:spacing w:after="0" w:line="240" w:lineRule="auto"/>
              <w:jc w:val="both"/>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(3)</w:t>
            </w:r>
            <w:r w:rsidRPr="004229C1">
              <w:rPr>
                <w:rFonts w:ascii="Times New Roman" w:hAnsi="Times New Roman" w:cs="Times New Roman"/>
                <w:kern w:val="0"/>
                <w:sz w:val="20"/>
                <w:szCs w:val="20"/>
                <w:lang w:val="uk-UA"/>
              </w:rPr>
              <w:tab/>
              <w:t>надання консультаційних та інформаційних послуг щодо банківських та інших фінансових послуг.</w:t>
            </w:r>
          </w:p>
        </w:tc>
      </w:tr>
    </w:tbl>
    <w:p w14:paraId="36028CE9" w14:textId="0CAAA40A" w:rsidR="007469BF" w:rsidRPr="004229C1" w:rsidRDefault="00CB4316">
      <w:pPr>
        <w:widowControl w:val="0"/>
        <w:autoSpaceDE w:val="0"/>
        <w:autoSpaceDN w:val="0"/>
        <w:adjustRightInd w:val="0"/>
        <w:spacing w:after="0" w:line="240" w:lineRule="auto"/>
        <w:rPr>
          <w:rFonts w:ascii="Times New Roman" w:hAnsi="Times New Roman" w:cs="Times New Roman"/>
          <w:kern w:val="0"/>
          <w:sz w:val="20"/>
          <w:szCs w:val="20"/>
          <w:lang w:val="uk-UA"/>
        </w:rPr>
      </w:pPr>
      <w:r w:rsidRPr="004229C1">
        <w:rPr>
          <w:rFonts w:ascii="Times New Roman" w:hAnsi="Times New Roman" w:cs="Times New Roman"/>
          <w:kern w:val="0"/>
          <w:sz w:val="20"/>
          <w:szCs w:val="20"/>
          <w:lang w:val="uk-UA"/>
        </w:rPr>
        <w:t xml:space="preserve">Повний перелік відділень Банку з інформацією про місцезнаходження розміщено за посиланням URL-адреса: </w:t>
      </w:r>
      <w:hyperlink r:id="rId25" w:history="1">
        <w:r w:rsidRPr="004229C1">
          <w:rPr>
            <w:rStyle w:val="Hyperlink"/>
            <w:rFonts w:ascii="Times New Roman" w:hAnsi="Times New Roman" w:cs="Times New Roman"/>
            <w:kern w:val="0"/>
            <w:sz w:val="20"/>
            <w:szCs w:val="20"/>
            <w:lang w:val="uk-UA"/>
          </w:rPr>
          <w:t>https://www.pravex.com.ua/otdeleniya-i-bankomaty</w:t>
        </w:r>
      </w:hyperlink>
    </w:p>
    <w:p w14:paraId="48915BE5" w14:textId="77777777" w:rsidR="00CB4316" w:rsidRPr="004229C1" w:rsidRDefault="00CB4316">
      <w:pPr>
        <w:widowControl w:val="0"/>
        <w:autoSpaceDE w:val="0"/>
        <w:autoSpaceDN w:val="0"/>
        <w:adjustRightInd w:val="0"/>
        <w:spacing w:after="0" w:line="240" w:lineRule="auto"/>
        <w:rPr>
          <w:rFonts w:ascii="Times New Roman" w:hAnsi="Times New Roman" w:cs="Times New Roman"/>
          <w:kern w:val="0"/>
          <w:sz w:val="20"/>
          <w:szCs w:val="20"/>
          <w:lang w:val="uk-UA"/>
        </w:rPr>
      </w:pPr>
    </w:p>
    <w:p w14:paraId="1AE4958C" w14:textId="77777777" w:rsidR="007469BF" w:rsidRPr="004229C1" w:rsidRDefault="000B08A7" w:rsidP="00394FCC">
      <w:pPr>
        <w:pStyle w:val="Heading1"/>
        <w:rPr>
          <w:rFonts w:cs="Times New Roman"/>
          <w:lang w:val="uk-UA"/>
        </w:rPr>
      </w:pPr>
      <w:bookmarkStart w:id="12" w:name="_Toc200057388"/>
      <w:r w:rsidRPr="004229C1">
        <w:rPr>
          <w:rFonts w:cs="Times New Roman"/>
          <w:lang w:val="uk-UA"/>
        </w:rPr>
        <w:t>II. Інформація щодо капіталу та цінних паперів</w:t>
      </w:r>
      <w:bookmarkEnd w:id="12"/>
    </w:p>
    <w:p w14:paraId="4E49D99A" w14:textId="77777777" w:rsidR="007469BF" w:rsidRPr="004229C1" w:rsidRDefault="000B08A7" w:rsidP="00394FCC">
      <w:pPr>
        <w:pStyle w:val="Heading2"/>
        <w:rPr>
          <w:rFonts w:cs="Times New Roman"/>
          <w:lang w:val="uk-UA"/>
        </w:rPr>
      </w:pPr>
      <w:bookmarkStart w:id="13" w:name="_Toc200057389"/>
      <w:r w:rsidRPr="004229C1">
        <w:rPr>
          <w:rFonts w:cs="Times New Roman"/>
          <w:lang w:val="uk-UA"/>
        </w:rPr>
        <w:t>1. Структура капіталу</w:t>
      </w:r>
      <w:bookmarkEnd w:id="13"/>
    </w:p>
    <w:tbl>
      <w:tblPr>
        <w:tblW w:w="154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085"/>
        <w:gridCol w:w="1418"/>
        <w:gridCol w:w="1701"/>
        <w:gridCol w:w="850"/>
        <w:gridCol w:w="7088"/>
        <w:gridCol w:w="1701"/>
        <w:gridCol w:w="1057"/>
      </w:tblGrid>
      <w:tr w:rsidR="00CB4316" w:rsidRPr="004229C1" w14:paraId="5450EB7B" w14:textId="77777777" w:rsidTr="00CB4316">
        <w:trPr>
          <w:trHeight w:val="200"/>
        </w:trPr>
        <w:tc>
          <w:tcPr>
            <w:tcW w:w="500" w:type="dxa"/>
            <w:tcBorders>
              <w:top w:val="single" w:sz="6" w:space="0" w:color="auto"/>
              <w:bottom w:val="single" w:sz="6" w:space="0" w:color="auto"/>
              <w:right w:val="single" w:sz="6" w:space="0" w:color="auto"/>
            </w:tcBorders>
            <w:vAlign w:val="center"/>
          </w:tcPr>
          <w:p w14:paraId="022DB63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з/п</w:t>
            </w:r>
          </w:p>
        </w:tc>
        <w:tc>
          <w:tcPr>
            <w:tcW w:w="1085" w:type="dxa"/>
            <w:tcBorders>
              <w:top w:val="single" w:sz="6" w:space="0" w:color="auto"/>
              <w:left w:val="single" w:sz="6" w:space="0" w:color="auto"/>
              <w:bottom w:val="single" w:sz="6" w:space="0" w:color="auto"/>
              <w:right w:val="single" w:sz="6" w:space="0" w:color="auto"/>
            </w:tcBorders>
            <w:vAlign w:val="center"/>
          </w:tcPr>
          <w:p w14:paraId="2EB3806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Тип та/або клас акцій</w:t>
            </w:r>
          </w:p>
        </w:tc>
        <w:tc>
          <w:tcPr>
            <w:tcW w:w="1418" w:type="dxa"/>
            <w:tcBorders>
              <w:top w:val="single" w:sz="6" w:space="0" w:color="auto"/>
              <w:left w:val="single" w:sz="6" w:space="0" w:color="auto"/>
              <w:bottom w:val="single" w:sz="6" w:space="0" w:color="auto"/>
              <w:right w:val="single" w:sz="6" w:space="0" w:color="auto"/>
            </w:tcBorders>
            <w:vAlign w:val="center"/>
          </w:tcPr>
          <w:p w14:paraId="3752641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свідоцтва про реєстрацію випуску</w:t>
            </w:r>
          </w:p>
        </w:tc>
        <w:tc>
          <w:tcPr>
            <w:tcW w:w="1701" w:type="dxa"/>
            <w:tcBorders>
              <w:top w:val="single" w:sz="6" w:space="0" w:color="auto"/>
              <w:left w:val="single" w:sz="6" w:space="0" w:color="auto"/>
              <w:bottom w:val="single" w:sz="6" w:space="0" w:color="auto"/>
              <w:right w:val="single" w:sz="6" w:space="0" w:color="auto"/>
            </w:tcBorders>
            <w:vAlign w:val="center"/>
          </w:tcPr>
          <w:p w14:paraId="6ED5867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Кількість акцій, шт.</w:t>
            </w:r>
          </w:p>
        </w:tc>
        <w:tc>
          <w:tcPr>
            <w:tcW w:w="850" w:type="dxa"/>
            <w:tcBorders>
              <w:top w:val="single" w:sz="6" w:space="0" w:color="auto"/>
              <w:left w:val="single" w:sz="6" w:space="0" w:color="auto"/>
              <w:bottom w:val="single" w:sz="6" w:space="0" w:color="auto"/>
              <w:right w:val="single" w:sz="6" w:space="0" w:color="auto"/>
            </w:tcBorders>
            <w:vAlign w:val="center"/>
          </w:tcPr>
          <w:p w14:paraId="1094561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Номінальна вартість, грн</w:t>
            </w:r>
          </w:p>
        </w:tc>
        <w:tc>
          <w:tcPr>
            <w:tcW w:w="7088" w:type="dxa"/>
            <w:tcBorders>
              <w:top w:val="single" w:sz="6" w:space="0" w:color="auto"/>
              <w:left w:val="single" w:sz="6" w:space="0" w:color="auto"/>
              <w:bottom w:val="single" w:sz="6" w:space="0" w:color="auto"/>
              <w:right w:val="single" w:sz="6" w:space="0" w:color="auto"/>
            </w:tcBorders>
            <w:vAlign w:val="center"/>
          </w:tcPr>
          <w:p w14:paraId="25B7F96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Права та обов'язки</w:t>
            </w:r>
          </w:p>
        </w:tc>
        <w:tc>
          <w:tcPr>
            <w:tcW w:w="1701" w:type="dxa"/>
            <w:tcBorders>
              <w:top w:val="single" w:sz="6" w:space="0" w:color="auto"/>
              <w:left w:val="single" w:sz="6" w:space="0" w:color="auto"/>
              <w:bottom w:val="single" w:sz="6" w:space="0" w:color="auto"/>
              <w:right w:val="single" w:sz="6" w:space="0" w:color="auto"/>
            </w:tcBorders>
            <w:vAlign w:val="center"/>
          </w:tcPr>
          <w:p w14:paraId="1DE731EB" w14:textId="15290C5F"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Наявність публічної пропозиції та/або допуску до торгів на організованих ринках капіталу</w:t>
            </w:r>
          </w:p>
        </w:tc>
        <w:tc>
          <w:tcPr>
            <w:tcW w:w="1057" w:type="dxa"/>
            <w:tcBorders>
              <w:top w:val="single" w:sz="6" w:space="0" w:color="auto"/>
              <w:left w:val="single" w:sz="6" w:space="0" w:color="auto"/>
              <w:bottom w:val="single" w:sz="6" w:space="0" w:color="auto"/>
            </w:tcBorders>
            <w:vAlign w:val="center"/>
          </w:tcPr>
          <w:p w14:paraId="4972CDE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Облік часток особи в обліковій системі часток</w:t>
            </w:r>
          </w:p>
        </w:tc>
      </w:tr>
      <w:tr w:rsidR="00CB4316" w:rsidRPr="004229C1" w14:paraId="2E03E5A6" w14:textId="77777777" w:rsidTr="00CB4316">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3F66B71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085" w:type="dxa"/>
            <w:tcBorders>
              <w:top w:val="single" w:sz="6" w:space="0" w:color="auto"/>
              <w:left w:val="single" w:sz="6" w:space="0" w:color="auto"/>
              <w:bottom w:val="single" w:sz="6" w:space="0" w:color="auto"/>
              <w:right w:val="single" w:sz="6" w:space="0" w:color="auto"/>
            </w:tcBorders>
            <w:vAlign w:val="center"/>
          </w:tcPr>
          <w:p w14:paraId="628B767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1418" w:type="dxa"/>
            <w:tcBorders>
              <w:top w:val="single" w:sz="6" w:space="0" w:color="auto"/>
              <w:left w:val="single" w:sz="6" w:space="0" w:color="auto"/>
              <w:bottom w:val="single" w:sz="6" w:space="0" w:color="auto"/>
              <w:right w:val="single" w:sz="6" w:space="0" w:color="auto"/>
            </w:tcBorders>
            <w:vAlign w:val="center"/>
          </w:tcPr>
          <w:p w14:paraId="1B4C0C5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1701" w:type="dxa"/>
            <w:tcBorders>
              <w:top w:val="single" w:sz="6" w:space="0" w:color="auto"/>
              <w:left w:val="single" w:sz="6" w:space="0" w:color="auto"/>
              <w:bottom w:val="single" w:sz="6" w:space="0" w:color="auto"/>
              <w:right w:val="single" w:sz="6" w:space="0" w:color="auto"/>
            </w:tcBorders>
            <w:vAlign w:val="center"/>
          </w:tcPr>
          <w:p w14:paraId="4F825B6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850" w:type="dxa"/>
            <w:tcBorders>
              <w:top w:val="single" w:sz="6" w:space="0" w:color="auto"/>
              <w:left w:val="single" w:sz="6" w:space="0" w:color="auto"/>
              <w:bottom w:val="single" w:sz="6" w:space="0" w:color="auto"/>
              <w:right w:val="single" w:sz="6" w:space="0" w:color="auto"/>
            </w:tcBorders>
            <w:vAlign w:val="center"/>
          </w:tcPr>
          <w:p w14:paraId="56F8F9D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c>
          <w:tcPr>
            <w:tcW w:w="7088" w:type="dxa"/>
            <w:tcBorders>
              <w:top w:val="single" w:sz="6" w:space="0" w:color="auto"/>
              <w:left w:val="single" w:sz="6" w:space="0" w:color="auto"/>
              <w:bottom w:val="single" w:sz="6" w:space="0" w:color="auto"/>
              <w:right w:val="single" w:sz="6" w:space="0" w:color="auto"/>
            </w:tcBorders>
            <w:vAlign w:val="center"/>
          </w:tcPr>
          <w:p w14:paraId="2895D09A" w14:textId="77777777" w:rsidR="007469BF" w:rsidRPr="004229C1" w:rsidRDefault="000B08A7" w:rsidP="007A32D8">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p>
        </w:tc>
        <w:tc>
          <w:tcPr>
            <w:tcW w:w="1701" w:type="dxa"/>
            <w:tcBorders>
              <w:top w:val="single" w:sz="6" w:space="0" w:color="auto"/>
              <w:left w:val="single" w:sz="6" w:space="0" w:color="auto"/>
              <w:bottom w:val="single" w:sz="6" w:space="0" w:color="auto"/>
              <w:right w:val="single" w:sz="6" w:space="0" w:color="auto"/>
            </w:tcBorders>
            <w:vAlign w:val="center"/>
          </w:tcPr>
          <w:p w14:paraId="1670647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1057" w:type="dxa"/>
            <w:tcBorders>
              <w:top w:val="single" w:sz="6" w:space="0" w:color="auto"/>
              <w:left w:val="single" w:sz="6" w:space="0" w:color="auto"/>
              <w:bottom w:val="single" w:sz="6" w:space="0" w:color="auto"/>
            </w:tcBorders>
            <w:vAlign w:val="center"/>
          </w:tcPr>
          <w:p w14:paraId="70CAC56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w:t>
            </w:r>
          </w:p>
        </w:tc>
      </w:tr>
      <w:tr w:rsidR="0037515F" w:rsidRPr="004229C1" w14:paraId="3A0B513B" w14:textId="77777777" w:rsidTr="00CB4316">
        <w:trPr>
          <w:trHeight w:val="300"/>
        </w:trPr>
        <w:tc>
          <w:tcPr>
            <w:tcW w:w="500" w:type="dxa"/>
            <w:tcBorders>
              <w:top w:val="single" w:sz="6" w:space="0" w:color="auto"/>
              <w:bottom w:val="single" w:sz="6" w:space="0" w:color="auto"/>
              <w:right w:val="single" w:sz="6" w:space="0" w:color="auto"/>
            </w:tcBorders>
          </w:tcPr>
          <w:p w14:paraId="668DD410" w14:textId="122C7D74"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085" w:type="dxa"/>
            <w:tcBorders>
              <w:top w:val="single" w:sz="6" w:space="0" w:color="auto"/>
              <w:left w:val="single" w:sz="6" w:space="0" w:color="auto"/>
              <w:bottom w:val="single" w:sz="6" w:space="0" w:color="auto"/>
              <w:right w:val="single" w:sz="6" w:space="0" w:color="auto"/>
            </w:tcBorders>
          </w:tcPr>
          <w:p w14:paraId="6A0D63F2" w14:textId="77777777"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iменнi</w:t>
            </w:r>
            <w:proofErr w:type="spellEnd"/>
          </w:p>
        </w:tc>
        <w:tc>
          <w:tcPr>
            <w:tcW w:w="1418" w:type="dxa"/>
            <w:tcBorders>
              <w:top w:val="single" w:sz="6" w:space="0" w:color="auto"/>
              <w:left w:val="single" w:sz="6" w:space="0" w:color="auto"/>
              <w:bottom w:val="single" w:sz="6" w:space="0" w:color="auto"/>
              <w:right w:val="single" w:sz="6" w:space="0" w:color="auto"/>
            </w:tcBorders>
          </w:tcPr>
          <w:p w14:paraId="1EC0179A" w14:textId="505C4DB5"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15/1/2024</w:t>
            </w:r>
          </w:p>
        </w:tc>
        <w:tc>
          <w:tcPr>
            <w:tcW w:w="1701" w:type="dxa"/>
            <w:tcBorders>
              <w:top w:val="single" w:sz="6" w:space="0" w:color="auto"/>
              <w:left w:val="single" w:sz="6" w:space="0" w:color="auto"/>
              <w:bottom w:val="single" w:sz="6" w:space="0" w:color="auto"/>
              <w:right w:val="single" w:sz="6" w:space="0" w:color="auto"/>
            </w:tcBorders>
          </w:tcPr>
          <w:p w14:paraId="4A563CDF" w14:textId="5ED181A3"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2 160 836 808</w:t>
            </w:r>
          </w:p>
        </w:tc>
        <w:tc>
          <w:tcPr>
            <w:tcW w:w="850" w:type="dxa"/>
            <w:tcBorders>
              <w:top w:val="single" w:sz="6" w:space="0" w:color="auto"/>
              <w:left w:val="single" w:sz="6" w:space="0" w:color="auto"/>
              <w:bottom w:val="single" w:sz="6" w:space="0" w:color="auto"/>
              <w:right w:val="single" w:sz="6" w:space="0" w:color="auto"/>
            </w:tcBorders>
          </w:tcPr>
          <w:p w14:paraId="696A0D41" w14:textId="77777777"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0,58</w:t>
            </w:r>
          </w:p>
        </w:tc>
        <w:tc>
          <w:tcPr>
            <w:tcW w:w="7088" w:type="dxa"/>
            <w:tcBorders>
              <w:top w:val="single" w:sz="6" w:space="0" w:color="auto"/>
              <w:left w:val="single" w:sz="6" w:space="0" w:color="auto"/>
              <w:bottom w:val="single" w:sz="6" w:space="0" w:color="auto"/>
              <w:right w:val="single" w:sz="6" w:space="0" w:color="auto"/>
            </w:tcBorders>
          </w:tcPr>
          <w:p w14:paraId="1FE2A74E"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3.1.</w:t>
            </w:r>
            <w:r w:rsidRPr="004229C1">
              <w:rPr>
                <w:rFonts w:ascii="Times New Roman" w:hAnsi="Times New Roman" w:cs="Times New Roman"/>
                <w:kern w:val="0"/>
                <w:sz w:val="22"/>
                <w:szCs w:val="22"/>
                <w:lang w:val="uk-UA"/>
              </w:rPr>
              <w:tab/>
              <w:t>Акціонери Банку, які є власниками простих акцій, мають право:</w:t>
            </w:r>
          </w:p>
          <w:p w14:paraId="55390F8F"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брати участь в управлінні Банком;</w:t>
            </w:r>
          </w:p>
          <w:p w14:paraId="0916D1F2"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(2) отримувати дивіденди за умови прийняття відповідного рішення Загальними зборами акціонерів; </w:t>
            </w:r>
          </w:p>
          <w:p w14:paraId="4B80E118"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  отримувати інформацію про діяльність Банку, стан активів, суми прибутків та збитків. На вимогу акціонера Банк повинен протягом 10 робочих днів надати цьому акціонеру протоколи засідань органів управління Банку, інші документи та інформацію відповідно до вимог законодавства України;</w:t>
            </w:r>
          </w:p>
          <w:p w14:paraId="2A4827B1"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 у разі ліквідації Банку отримати частину його майна або частину вартості його майна;</w:t>
            </w:r>
          </w:p>
          <w:p w14:paraId="6856373A" w14:textId="0E66E99F"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(5) розпоряджатися акціями Банку в порядку, встановленому цим Статутом та законодавством України. </w:t>
            </w:r>
          </w:p>
          <w:p w14:paraId="59DDC925" w14:textId="15E2396E"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3.4. Обов'язки акціонерів встановлюються виключно законом.</w:t>
            </w:r>
          </w:p>
        </w:tc>
        <w:tc>
          <w:tcPr>
            <w:tcW w:w="1701" w:type="dxa"/>
            <w:tcBorders>
              <w:top w:val="single" w:sz="6" w:space="0" w:color="auto"/>
              <w:left w:val="single" w:sz="6" w:space="0" w:color="auto"/>
              <w:bottom w:val="single" w:sz="6" w:space="0" w:color="auto"/>
              <w:right w:val="single" w:sz="6" w:space="0" w:color="auto"/>
            </w:tcBorders>
          </w:tcPr>
          <w:p w14:paraId="2C7A7EF6" w14:textId="77777777"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Допуск до </w:t>
            </w:r>
            <w:proofErr w:type="spellStart"/>
            <w:r w:rsidRPr="004229C1">
              <w:rPr>
                <w:rFonts w:ascii="Times New Roman" w:hAnsi="Times New Roman" w:cs="Times New Roman"/>
                <w:kern w:val="0"/>
                <w:sz w:val="22"/>
                <w:szCs w:val="22"/>
                <w:lang w:val="uk-UA"/>
              </w:rPr>
              <w:t>торгiв</w:t>
            </w:r>
            <w:proofErr w:type="spellEnd"/>
          </w:p>
        </w:tc>
        <w:tc>
          <w:tcPr>
            <w:tcW w:w="1057" w:type="dxa"/>
            <w:tcBorders>
              <w:top w:val="single" w:sz="6" w:space="0" w:color="auto"/>
              <w:left w:val="single" w:sz="6" w:space="0" w:color="auto"/>
              <w:bottom w:val="single" w:sz="6" w:space="0" w:color="auto"/>
            </w:tcBorders>
          </w:tcPr>
          <w:p w14:paraId="72657A22" w14:textId="77777777" w:rsidR="0037515F" w:rsidRPr="004229C1" w:rsidRDefault="0037515F" w:rsidP="0037515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r w:rsidR="00CB4316" w:rsidRPr="004229C1" w14:paraId="21F3E9DD" w14:textId="77777777" w:rsidTr="00CB4316">
        <w:trPr>
          <w:trHeight w:val="300"/>
        </w:trPr>
        <w:tc>
          <w:tcPr>
            <w:tcW w:w="500" w:type="dxa"/>
            <w:tcBorders>
              <w:top w:val="single" w:sz="6" w:space="0" w:color="auto"/>
              <w:bottom w:val="single" w:sz="6" w:space="0" w:color="auto"/>
              <w:right w:val="single" w:sz="6" w:space="0" w:color="auto"/>
            </w:tcBorders>
          </w:tcPr>
          <w:p w14:paraId="5F38070B" w14:textId="4FD57F71" w:rsidR="007469BF" w:rsidRPr="004229C1" w:rsidRDefault="00E35F0D">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1085" w:type="dxa"/>
            <w:tcBorders>
              <w:top w:val="single" w:sz="6" w:space="0" w:color="auto"/>
              <w:left w:val="single" w:sz="6" w:space="0" w:color="auto"/>
              <w:bottom w:val="single" w:sz="6" w:space="0" w:color="auto"/>
              <w:right w:val="single" w:sz="6" w:space="0" w:color="auto"/>
            </w:tcBorders>
          </w:tcPr>
          <w:p w14:paraId="03731D32" w14:textId="72A96120" w:rsidR="007469BF" w:rsidRPr="004229C1" w:rsidRDefault="00476C6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Привілейовані іменні</w:t>
            </w:r>
          </w:p>
        </w:tc>
        <w:tc>
          <w:tcPr>
            <w:tcW w:w="1418" w:type="dxa"/>
            <w:tcBorders>
              <w:top w:val="single" w:sz="6" w:space="0" w:color="auto"/>
              <w:left w:val="single" w:sz="6" w:space="0" w:color="auto"/>
              <w:bottom w:val="single" w:sz="6" w:space="0" w:color="auto"/>
              <w:right w:val="single" w:sz="6" w:space="0" w:color="auto"/>
            </w:tcBorders>
          </w:tcPr>
          <w:p w14:paraId="7233C5B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10/1/11</w:t>
            </w:r>
          </w:p>
        </w:tc>
        <w:tc>
          <w:tcPr>
            <w:tcW w:w="1701" w:type="dxa"/>
            <w:tcBorders>
              <w:top w:val="single" w:sz="6" w:space="0" w:color="auto"/>
              <w:left w:val="single" w:sz="6" w:space="0" w:color="auto"/>
              <w:bottom w:val="single" w:sz="6" w:space="0" w:color="auto"/>
              <w:right w:val="single" w:sz="6" w:space="0" w:color="auto"/>
            </w:tcBorders>
          </w:tcPr>
          <w:p w14:paraId="4735641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1 500 000</w:t>
            </w:r>
          </w:p>
        </w:tc>
        <w:tc>
          <w:tcPr>
            <w:tcW w:w="850" w:type="dxa"/>
            <w:tcBorders>
              <w:top w:val="single" w:sz="6" w:space="0" w:color="auto"/>
              <w:left w:val="single" w:sz="6" w:space="0" w:color="auto"/>
              <w:bottom w:val="single" w:sz="6" w:space="0" w:color="auto"/>
              <w:right w:val="single" w:sz="6" w:space="0" w:color="auto"/>
            </w:tcBorders>
          </w:tcPr>
          <w:p w14:paraId="664E639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0,58</w:t>
            </w:r>
          </w:p>
        </w:tc>
        <w:tc>
          <w:tcPr>
            <w:tcW w:w="7088" w:type="dxa"/>
            <w:tcBorders>
              <w:top w:val="single" w:sz="6" w:space="0" w:color="auto"/>
              <w:left w:val="single" w:sz="6" w:space="0" w:color="auto"/>
              <w:bottom w:val="single" w:sz="6" w:space="0" w:color="auto"/>
              <w:right w:val="single" w:sz="6" w:space="0" w:color="auto"/>
            </w:tcBorders>
          </w:tcPr>
          <w:p w14:paraId="387D05F7"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3.2.</w:t>
            </w:r>
            <w:r w:rsidRPr="004229C1">
              <w:rPr>
                <w:rFonts w:ascii="Times New Roman" w:hAnsi="Times New Roman" w:cs="Times New Roman"/>
                <w:kern w:val="0"/>
                <w:sz w:val="22"/>
                <w:szCs w:val="22"/>
                <w:lang w:val="uk-UA"/>
              </w:rPr>
              <w:tab/>
              <w:t>Акціонери Банку, які є власниками привілейованих акцій, мають право:</w:t>
            </w:r>
          </w:p>
          <w:p w14:paraId="2F5AB52A"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r w:rsidRPr="004229C1">
              <w:rPr>
                <w:rFonts w:ascii="Times New Roman" w:hAnsi="Times New Roman" w:cs="Times New Roman"/>
                <w:kern w:val="0"/>
                <w:sz w:val="22"/>
                <w:szCs w:val="22"/>
                <w:lang w:val="uk-UA"/>
              </w:rPr>
              <w:tab/>
              <w:t>отримувати дивіденди в розмірі 18 % річних від номінальної вартості акцій незалежно від розміру чистого прибутку, отриманого Банком у відповідному році, у строк, що не перевищує шість місяців після закінчення звітного періоду;</w:t>
            </w:r>
          </w:p>
          <w:p w14:paraId="45E4DD55"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Pr="004229C1">
              <w:rPr>
                <w:rFonts w:ascii="Times New Roman" w:hAnsi="Times New Roman" w:cs="Times New Roman"/>
                <w:kern w:val="0"/>
                <w:sz w:val="22"/>
                <w:szCs w:val="22"/>
                <w:lang w:val="uk-UA"/>
              </w:rPr>
              <w:tab/>
              <w:t>на першочергове отримання частини майна Банку або частини вартості майна Банку, що залишилася після розрахунків із кредиторами, у разі ліквідації Банку, пропорційно до кількості привілейованих акцій, якими володіє цей акціонер;</w:t>
            </w:r>
          </w:p>
          <w:p w14:paraId="780BCDE2"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r w:rsidRPr="004229C1">
              <w:rPr>
                <w:rFonts w:ascii="Times New Roman" w:hAnsi="Times New Roman" w:cs="Times New Roman"/>
                <w:kern w:val="0"/>
                <w:sz w:val="22"/>
                <w:szCs w:val="22"/>
                <w:lang w:val="uk-UA"/>
              </w:rPr>
              <w:tab/>
              <w:t>на конвертацію привілейованих акцій певного класу у прості акції Банку чи у привілейовані акції іншого класу або у інші цінні папери в порядку та умовах, передбачених законодавством України та рішенням Загальних Зборів акціонерів;</w:t>
            </w:r>
          </w:p>
          <w:p w14:paraId="77E6464B"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r w:rsidRPr="004229C1">
              <w:rPr>
                <w:rFonts w:ascii="Times New Roman" w:hAnsi="Times New Roman" w:cs="Times New Roman"/>
                <w:kern w:val="0"/>
                <w:sz w:val="22"/>
                <w:szCs w:val="22"/>
                <w:lang w:val="uk-UA"/>
              </w:rPr>
              <w:tab/>
              <w:t>одержувати інформацію про діяльність Банку, стан активів, суми прибутків та збитків в порядку, передбаченому для акціонерів, які є власниками простих акцій;</w:t>
            </w:r>
          </w:p>
          <w:p w14:paraId="58239A5D"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r w:rsidRPr="004229C1">
              <w:rPr>
                <w:rFonts w:ascii="Times New Roman" w:hAnsi="Times New Roman" w:cs="Times New Roman"/>
                <w:kern w:val="0"/>
                <w:sz w:val="22"/>
                <w:szCs w:val="22"/>
                <w:lang w:val="uk-UA"/>
              </w:rPr>
              <w:tab/>
              <w:t>голосувати на Загальних Зборах акціонерів під час вирішення питань про:</w:t>
            </w:r>
          </w:p>
          <w:p w14:paraId="68E5CA02"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(i)</w:t>
            </w:r>
            <w:r w:rsidRPr="004229C1">
              <w:rPr>
                <w:rFonts w:ascii="Times New Roman" w:hAnsi="Times New Roman" w:cs="Times New Roman"/>
                <w:kern w:val="0"/>
                <w:sz w:val="22"/>
                <w:szCs w:val="22"/>
                <w:lang w:val="uk-UA"/>
              </w:rPr>
              <w:tab/>
              <w:t>припинення Банку, що передбачає конвертацію привілейованих акцій цього класу у привілейовані акції іншого класу, прості акції або інші цінні папери;</w:t>
            </w:r>
          </w:p>
          <w:p w14:paraId="5283A1F7"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(ii)</w:t>
            </w:r>
            <w:r w:rsidRPr="004229C1">
              <w:rPr>
                <w:rFonts w:ascii="Times New Roman" w:hAnsi="Times New Roman" w:cs="Times New Roman"/>
                <w:kern w:val="0"/>
                <w:sz w:val="22"/>
                <w:szCs w:val="22"/>
                <w:lang w:val="uk-UA"/>
              </w:rPr>
              <w:tab/>
              <w:t>внесення змін до Статуту, що передбачають обмеження прав акціонерів – власників цього класу привілейованих акцій;</w:t>
            </w:r>
          </w:p>
          <w:p w14:paraId="1EE96882"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(iii)</w:t>
            </w:r>
            <w:r w:rsidRPr="004229C1">
              <w:rPr>
                <w:rFonts w:ascii="Times New Roman" w:hAnsi="Times New Roman" w:cs="Times New Roman"/>
                <w:kern w:val="0"/>
                <w:sz w:val="22"/>
                <w:szCs w:val="22"/>
                <w:lang w:val="uk-UA"/>
              </w:rPr>
              <w:tab/>
              <w:t>внесення змін до Статуту, що передбачають емісію нового класу привілейованих акцій, власники яких матимуть перевагу щодо черговості отримання дивідендів чи виплат у разі ліквідації Банку, або збільшення обсягу прав акціонерів – власників розміщених класів привілейованих акцій, які мають перевагу щодо черговості отримання дивідендів чи виплат у разі ліквідації Банку;</w:t>
            </w:r>
          </w:p>
          <w:p w14:paraId="7B5B0CA7" w14:textId="77777777"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(iv)</w:t>
            </w:r>
            <w:r w:rsidRPr="004229C1">
              <w:rPr>
                <w:rFonts w:ascii="Times New Roman" w:hAnsi="Times New Roman" w:cs="Times New Roman"/>
                <w:kern w:val="0"/>
                <w:sz w:val="22"/>
                <w:szCs w:val="22"/>
                <w:lang w:val="uk-UA"/>
              </w:rPr>
              <w:tab/>
              <w:t>зменшення статутного капіталу Банку;</w:t>
            </w:r>
          </w:p>
          <w:p w14:paraId="75CA7B43" w14:textId="7ADF393C" w:rsidR="007469BF"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r w:rsidRPr="004229C1">
              <w:rPr>
                <w:rFonts w:ascii="Times New Roman" w:hAnsi="Times New Roman" w:cs="Times New Roman"/>
                <w:kern w:val="0"/>
                <w:sz w:val="22"/>
                <w:szCs w:val="22"/>
                <w:lang w:val="uk-UA"/>
              </w:rPr>
              <w:tab/>
              <w:t>інші права, передбачені законодавством України та Статутом.</w:t>
            </w:r>
          </w:p>
          <w:p w14:paraId="5A206CBB" w14:textId="00B1AF3E" w:rsidR="00440915" w:rsidRPr="004229C1" w:rsidRDefault="00440915"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3.4. Обов'язки акціонерів встановлюються виключно законом.</w:t>
            </w:r>
          </w:p>
        </w:tc>
        <w:tc>
          <w:tcPr>
            <w:tcW w:w="1701" w:type="dxa"/>
            <w:tcBorders>
              <w:top w:val="single" w:sz="6" w:space="0" w:color="auto"/>
              <w:left w:val="single" w:sz="6" w:space="0" w:color="auto"/>
              <w:bottom w:val="single" w:sz="6" w:space="0" w:color="auto"/>
              <w:right w:val="single" w:sz="6" w:space="0" w:color="auto"/>
            </w:tcBorders>
          </w:tcPr>
          <w:p w14:paraId="28F82D3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Допуск до </w:t>
            </w:r>
            <w:proofErr w:type="spellStart"/>
            <w:r w:rsidRPr="004229C1">
              <w:rPr>
                <w:rFonts w:ascii="Times New Roman" w:hAnsi="Times New Roman" w:cs="Times New Roman"/>
                <w:kern w:val="0"/>
                <w:sz w:val="22"/>
                <w:szCs w:val="22"/>
                <w:lang w:val="uk-UA"/>
              </w:rPr>
              <w:t>торгiв</w:t>
            </w:r>
            <w:proofErr w:type="spellEnd"/>
          </w:p>
        </w:tc>
        <w:tc>
          <w:tcPr>
            <w:tcW w:w="1057" w:type="dxa"/>
            <w:tcBorders>
              <w:top w:val="single" w:sz="6" w:space="0" w:color="auto"/>
              <w:left w:val="single" w:sz="6" w:space="0" w:color="auto"/>
              <w:bottom w:val="single" w:sz="6" w:space="0" w:color="auto"/>
            </w:tcBorders>
          </w:tcPr>
          <w:p w14:paraId="53EC0E78"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r>
    </w:tbl>
    <w:p w14:paraId="255F75B7"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5A33AA52" w14:textId="77777777" w:rsidR="007469BF" w:rsidRPr="004229C1" w:rsidRDefault="000B08A7" w:rsidP="00394FCC">
      <w:pPr>
        <w:pStyle w:val="Heading2"/>
        <w:rPr>
          <w:rFonts w:cs="Times New Roman"/>
          <w:lang w:val="uk-UA"/>
        </w:rPr>
      </w:pPr>
      <w:bookmarkStart w:id="14" w:name="_Toc200057390"/>
      <w:r w:rsidRPr="004229C1">
        <w:rPr>
          <w:rFonts w:cs="Times New Roman"/>
          <w:lang w:val="uk-UA"/>
        </w:rPr>
        <w:t>3. Цінні папери</w:t>
      </w:r>
      <w:bookmarkEnd w:id="14"/>
    </w:p>
    <w:p w14:paraId="0A071630" w14:textId="77777777" w:rsidR="0037515F" w:rsidRPr="004229C1" w:rsidRDefault="0037515F" w:rsidP="0037515F">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37515F" w:rsidRPr="004229C1" w14:paraId="31F0B717" w14:textId="77777777" w:rsidTr="00FA3E07">
        <w:trPr>
          <w:trHeight w:val="200"/>
        </w:trPr>
        <w:tc>
          <w:tcPr>
            <w:tcW w:w="1250" w:type="dxa"/>
            <w:tcBorders>
              <w:top w:val="single" w:sz="6" w:space="0" w:color="auto"/>
              <w:bottom w:val="single" w:sz="6" w:space="0" w:color="auto"/>
              <w:right w:val="single" w:sz="6" w:space="0" w:color="auto"/>
            </w:tcBorders>
            <w:vAlign w:val="center"/>
          </w:tcPr>
          <w:p w14:paraId="4CEAE2EA"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6A0FFCAD"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025D789B"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56E87A2B"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2FA3B5B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367FF6A4"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6625C964"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52ABFD09"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2B1717D7"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2FFA5737"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Частка у статутному капіталі (у відсотках)</w:t>
            </w:r>
          </w:p>
        </w:tc>
      </w:tr>
      <w:tr w:rsidR="0037515F" w:rsidRPr="004229C1" w14:paraId="69704861" w14:textId="77777777" w:rsidTr="00FA3E07">
        <w:trPr>
          <w:trHeight w:val="200"/>
        </w:trPr>
        <w:tc>
          <w:tcPr>
            <w:tcW w:w="1250" w:type="dxa"/>
            <w:tcBorders>
              <w:top w:val="single" w:sz="6" w:space="0" w:color="auto"/>
              <w:bottom w:val="single" w:sz="6" w:space="0" w:color="auto"/>
              <w:right w:val="single" w:sz="6" w:space="0" w:color="auto"/>
            </w:tcBorders>
            <w:vAlign w:val="center"/>
          </w:tcPr>
          <w:p w14:paraId="7AACCC96"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350" w:type="dxa"/>
            <w:tcBorders>
              <w:top w:val="single" w:sz="6" w:space="0" w:color="auto"/>
              <w:left w:val="single" w:sz="6" w:space="0" w:color="auto"/>
              <w:bottom w:val="single" w:sz="6" w:space="0" w:color="auto"/>
              <w:right w:val="single" w:sz="6" w:space="0" w:color="auto"/>
            </w:tcBorders>
            <w:vAlign w:val="center"/>
          </w:tcPr>
          <w:p w14:paraId="52319186"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2400" w:type="dxa"/>
            <w:tcBorders>
              <w:top w:val="single" w:sz="6" w:space="0" w:color="auto"/>
              <w:left w:val="single" w:sz="6" w:space="0" w:color="auto"/>
              <w:bottom w:val="single" w:sz="6" w:space="0" w:color="auto"/>
              <w:right w:val="single" w:sz="6" w:space="0" w:color="auto"/>
            </w:tcBorders>
            <w:vAlign w:val="center"/>
          </w:tcPr>
          <w:p w14:paraId="52A8A569"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1700" w:type="dxa"/>
            <w:tcBorders>
              <w:top w:val="single" w:sz="6" w:space="0" w:color="auto"/>
              <w:left w:val="single" w:sz="6" w:space="0" w:color="auto"/>
              <w:bottom w:val="single" w:sz="6" w:space="0" w:color="auto"/>
              <w:right w:val="single" w:sz="6" w:space="0" w:color="auto"/>
            </w:tcBorders>
            <w:vAlign w:val="center"/>
          </w:tcPr>
          <w:p w14:paraId="2ADE7DEB"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1600" w:type="dxa"/>
            <w:tcBorders>
              <w:top w:val="single" w:sz="6" w:space="0" w:color="auto"/>
              <w:left w:val="single" w:sz="6" w:space="0" w:color="auto"/>
              <w:bottom w:val="single" w:sz="6" w:space="0" w:color="auto"/>
              <w:right w:val="single" w:sz="6" w:space="0" w:color="auto"/>
            </w:tcBorders>
            <w:vAlign w:val="center"/>
          </w:tcPr>
          <w:p w14:paraId="349172D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c>
          <w:tcPr>
            <w:tcW w:w="1350" w:type="dxa"/>
            <w:tcBorders>
              <w:top w:val="single" w:sz="6" w:space="0" w:color="auto"/>
              <w:left w:val="single" w:sz="6" w:space="0" w:color="auto"/>
              <w:bottom w:val="single" w:sz="6" w:space="0" w:color="auto"/>
              <w:right w:val="single" w:sz="6" w:space="0" w:color="auto"/>
            </w:tcBorders>
            <w:vAlign w:val="center"/>
          </w:tcPr>
          <w:p w14:paraId="4AF087F6"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p>
        </w:tc>
        <w:tc>
          <w:tcPr>
            <w:tcW w:w="1450" w:type="dxa"/>
            <w:tcBorders>
              <w:top w:val="single" w:sz="6" w:space="0" w:color="auto"/>
              <w:left w:val="single" w:sz="6" w:space="0" w:color="auto"/>
              <w:bottom w:val="single" w:sz="6" w:space="0" w:color="auto"/>
              <w:right w:val="single" w:sz="6" w:space="0" w:color="auto"/>
            </w:tcBorders>
            <w:vAlign w:val="center"/>
          </w:tcPr>
          <w:p w14:paraId="089CD5F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1200" w:type="dxa"/>
            <w:tcBorders>
              <w:top w:val="single" w:sz="6" w:space="0" w:color="auto"/>
              <w:left w:val="single" w:sz="6" w:space="0" w:color="auto"/>
              <w:bottom w:val="single" w:sz="6" w:space="0" w:color="auto"/>
              <w:right w:val="single" w:sz="6" w:space="0" w:color="auto"/>
            </w:tcBorders>
            <w:vAlign w:val="center"/>
          </w:tcPr>
          <w:p w14:paraId="03CA1ACA"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w:t>
            </w:r>
          </w:p>
        </w:tc>
        <w:tc>
          <w:tcPr>
            <w:tcW w:w="1400" w:type="dxa"/>
            <w:tcBorders>
              <w:top w:val="single" w:sz="6" w:space="0" w:color="auto"/>
              <w:left w:val="single" w:sz="6" w:space="0" w:color="auto"/>
              <w:bottom w:val="single" w:sz="6" w:space="0" w:color="auto"/>
              <w:right w:val="single" w:sz="6" w:space="0" w:color="auto"/>
            </w:tcBorders>
            <w:vAlign w:val="center"/>
          </w:tcPr>
          <w:p w14:paraId="7B725C9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9</w:t>
            </w:r>
          </w:p>
        </w:tc>
        <w:tc>
          <w:tcPr>
            <w:tcW w:w="1700" w:type="dxa"/>
            <w:tcBorders>
              <w:top w:val="single" w:sz="6" w:space="0" w:color="auto"/>
              <w:left w:val="single" w:sz="6" w:space="0" w:color="auto"/>
              <w:bottom w:val="single" w:sz="6" w:space="0" w:color="auto"/>
            </w:tcBorders>
            <w:vAlign w:val="center"/>
          </w:tcPr>
          <w:p w14:paraId="6D58242A"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w:t>
            </w:r>
          </w:p>
        </w:tc>
      </w:tr>
      <w:tr w:rsidR="0037515F" w:rsidRPr="004229C1" w14:paraId="17D99B82" w14:textId="77777777" w:rsidTr="00FA3E07">
        <w:trPr>
          <w:trHeight w:val="200"/>
        </w:trPr>
        <w:tc>
          <w:tcPr>
            <w:tcW w:w="1250" w:type="dxa"/>
            <w:tcBorders>
              <w:top w:val="single" w:sz="6" w:space="0" w:color="auto"/>
              <w:bottom w:val="single" w:sz="6" w:space="0" w:color="auto"/>
              <w:right w:val="single" w:sz="6" w:space="0" w:color="auto"/>
            </w:tcBorders>
          </w:tcPr>
          <w:p w14:paraId="1395AB73"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25.04.2024</w:t>
            </w:r>
          </w:p>
        </w:tc>
        <w:tc>
          <w:tcPr>
            <w:tcW w:w="1350" w:type="dxa"/>
            <w:tcBorders>
              <w:top w:val="single" w:sz="6" w:space="0" w:color="auto"/>
              <w:left w:val="single" w:sz="6" w:space="0" w:color="auto"/>
              <w:bottom w:val="single" w:sz="6" w:space="0" w:color="auto"/>
              <w:right w:val="single" w:sz="6" w:space="0" w:color="auto"/>
            </w:tcBorders>
          </w:tcPr>
          <w:p w14:paraId="6FDF1811"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15/1/2024</w:t>
            </w:r>
          </w:p>
        </w:tc>
        <w:tc>
          <w:tcPr>
            <w:tcW w:w="2400" w:type="dxa"/>
            <w:tcBorders>
              <w:top w:val="single" w:sz="6" w:space="0" w:color="auto"/>
              <w:left w:val="single" w:sz="6" w:space="0" w:color="auto"/>
              <w:bottom w:val="single" w:sz="6" w:space="0" w:color="auto"/>
              <w:right w:val="single" w:sz="6" w:space="0" w:color="auto"/>
            </w:tcBorders>
          </w:tcPr>
          <w:p w14:paraId="5CAB3458"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2F03EAAA"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UA4000068159</w:t>
            </w:r>
          </w:p>
        </w:tc>
        <w:tc>
          <w:tcPr>
            <w:tcW w:w="1600" w:type="dxa"/>
            <w:tcBorders>
              <w:top w:val="single" w:sz="6" w:space="0" w:color="auto"/>
              <w:left w:val="single" w:sz="6" w:space="0" w:color="auto"/>
              <w:bottom w:val="single" w:sz="6" w:space="0" w:color="auto"/>
              <w:right w:val="single" w:sz="6" w:space="0" w:color="auto"/>
            </w:tcBorders>
          </w:tcPr>
          <w:p w14:paraId="444E354E" w14:textId="66FFEA7B"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Акція проста іменна</w:t>
            </w:r>
          </w:p>
        </w:tc>
        <w:tc>
          <w:tcPr>
            <w:tcW w:w="1350" w:type="dxa"/>
            <w:tcBorders>
              <w:top w:val="single" w:sz="6" w:space="0" w:color="auto"/>
              <w:left w:val="single" w:sz="6" w:space="0" w:color="auto"/>
              <w:bottom w:val="single" w:sz="6" w:space="0" w:color="auto"/>
              <w:right w:val="single" w:sz="6" w:space="0" w:color="auto"/>
            </w:tcBorders>
          </w:tcPr>
          <w:p w14:paraId="075FB7FF"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7E227020"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0,58</w:t>
            </w:r>
          </w:p>
        </w:tc>
        <w:tc>
          <w:tcPr>
            <w:tcW w:w="1200" w:type="dxa"/>
            <w:tcBorders>
              <w:top w:val="single" w:sz="6" w:space="0" w:color="auto"/>
              <w:left w:val="single" w:sz="6" w:space="0" w:color="auto"/>
              <w:bottom w:val="single" w:sz="6" w:space="0" w:color="auto"/>
              <w:right w:val="single" w:sz="6" w:space="0" w:color="auto"/>
            </w:tcBorders>
          </w:tcPr>
          <w:p w14:paraId="0A346833"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2 160 836 808</w:t>
            </w:r>
          </w:p>
        </w:tc>
        <w:tc>
          <w:tcPr>
            <w:tcW w:w="1400" w:type="dxa"/>
            <w:tcBorders>
              <w:top w:val="single" w:sz="6" w:space="0" w:color="auto"/>
              <w:left w:val="single" w:sz="6" w:space="0" w:color="auto"/>
              <w:bottom w:val="single" w:sz="6" w:space="0" w:color="auto"/>
              <w:right w:val="single" w:sz="6" w:space="0" w:color="auto"/>
            </w:tcBorders>
          </w:tcPr>
          <w:p w14:paraId="178E27A6"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1 253 285 348,64</w:t>
            </w:r>
          </w:p>
        </w:tc>
        <w:tc>
          <w:tcPr>
            <w:tcW w:w="1700" w:type="dxa"/>
            <w:tcBorders>
              <w:top w:val="single" w:sz="6" w:space="0" w:color="auto"/>
              <w:left w:val="single" w:sz="6" w:space="0" w:color="auto"/>
              <w:bottom w:val="single" w:sz="6" w:space="0" w:color="auto"/>
            </w:tcBorders>
          </w:tcPr>
          <w:p w14:paraId="4393CAD8"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99,93063</w:t>
            </w:r>
          </w:p>
        </w:tc>
      </w:tr>
      <w:tr w:rsidR="0037515F" w:rsidRPr="004229C1" w14:paraId="1DCA4C6F" w14:textId="77777777" w:rsidTr="00FA3E07">
        <w:trPr>
          <w:trHeight w:val="200"/>
        </w:trPr>
        <w:tc>
          <w:tcPr>
            <w:tcW w:w="2600" w:type="dxa"/>
            <w:gridSpan w:val="2"/>
            <w:tcBorders>
              <w:top w:val="single" w:sz="6" w:space="0" w:color="auto"/>
              <w:bottom w:val="single" w:sz="6" w:space="0" w:color="auto"/>
              <w:right w:val="single" w:sz="6" w:space="0" w:color="auto"/>
            </w:tcBorders>
          </w:tcPr>
          <w:p w14:paraId="122F984E" w14:textId="77777777" w:rsidR="0037515F" w:rsidRPr="004229C1" w:rsidRDefault="0037515F" w:rsidP="00FA3E0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46F2A627"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Акцiї</w:t>
            </w:r>
            <w:proofErr w:type="spellEnd"/>
            <w:r w:rsidRPr="004229C1">
              <w:rPr>
                <w:rFonts w:ascii="Times New Roman" w:hAnsi="Times New Roman" w:cs="Times New Roman"/>
                <w:kern w:val="0"/>
                <w:sz w:val="22"/>
                <w:szCs w:val="22"/>
                <w:lang w:val="uk-UA"/>
              </w:rPr>
              <w:t xml:space="preserve"> АТ "ПРАВЕКС БАНК" (</w:t>
            </w:r>
            <w:proofErr w:type="spellStart"/>
            <w:r w:rsidRPr="004229C1">
              <w:rPr>
                <w:rFonts w:ascii="Times New Roman" w:hAnsi="Times New Roman" w:cs="Times New Roman"/>
                <w:kern w:val="0"/>
                <w:sz w:val="22"/>
                <w:szCs w:val="22"/>
                <w:lang w:val="uk-UA"/>
              </w:rPr>
              <w:t>простi</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привiлейованi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включенi</w:t>
            </w:r>
            <w:proofErr w:type="spellEnd"/>
            <w:r w:rsidRPr="004229C1">
              <w:rPr>
                <w:rFonts w:ascii="Times New Roman" w:hAnsi="Times New Roman" w:cs="Times New Roman"/>
                <w:kern w:val="0"/>
                <w:sz w:val="22"/>
                <w:szCs w:val="22"/>
                <w:lang w:val="uk-UA"/>
              </w:rPr>
              <w:t xml:space="preserve">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Списку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без включення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реєстру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Операцiйного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04.04.2012).</w:t>
            </w:r>
          </w:p>
          <w:p w14:paraId="65DCFA63"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p w14:paraId="697E8818"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 дати включення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АТ "ПРАВЕКС БАНК"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Списку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єдиним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АТ "ПРАВЕКС БАНК" була i залишається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С.п.А</w:t>
            </w:r>
            <w:proofErr w:type="spellEnd"/>
            <w:r w:rsidRPr="004229C1">
              <w:rPr>
                <w:rFonts w:ascii="Times New Roman" w:hAnsi="Times New Roman" w:cs="Times New Roman"/>
                <w:kern w:val="0"/>
                <w:sz w:val="22"/>
                <w:szCs w:val="22"/>
                <w:lang w:val="uk-UA"/>
              </w:rPr>
              <w:t xml:space="preserve">.; угод щодо </w:t>
            </w:r>
            <w:proofErr w:type="spellStart"/>
            <w:r w:rsidRPr="004229C1">
              <w:rPr>
                <w:rFonts w:ascii="Times New Roman" w:hAnsi="Times New Roman" w:cs="Times New Roman"/>
                <w:kern w:val="0"/>
                <w:sz w:val="22"/>
                <w:szCs w:val="22"/>
                <w:lang w:val="uk-UA"/>
              </w:rPr>
              <w:t>купiвлi</w:t>
            </w:r>
            <w:proofErr w:type="spellEnd"/>
            <w:r w:rsidRPr="004229C1">
              <w:rPr>
                <w:rFonts w:ascii="Times New Roman" w:hAnsi="Times New Roman" w:cs="Times New Roman"/>
                <w:kern w:val="0"/>
                <w:sz w:val="22"/>
                <w:szCs w:val="22"/>
                <w:lang w:val="uk-UA"/>
              </w:rPr>
              <w:t xml:space="preserve">-продажу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АТ "ПРАВЕКС БАНК" не укладалось.</w:t>
            </w:r>
          </w:p>
          <w:p w14:paraId="363802A5"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37515F" w:rsidRPr="004229C1" w14:paraId="027A175A" w14:textId="77777777" w:rsidTr="00FA3E07">
        <w:trPr>
          <w:trHeight w:val="200"/>
        </w:trPr>
        <w:tc>
          <w:tcPr>
            <w:tcW w:w="1250" w:type="dxa"/>
            <w:tcBorders>
              <w:top w:val="single" w:sz="6" w:space="0" w:color="auto"/>
              <w:bottom w:val="single" w:sz="6" w:space="0" w:color="auto"/>
              <w:right w:val="single" w:sz="6" w:space="0" w:color="auto"/>
            </w:tcBorders>
          </w:tcPr>
          <w:p w14:paraId="74E305A7"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05.01.2011</w:t>
            </w:r>
          </w:p>
        </w:tc>
        <w:tc>
          <w:tcPr>
            <w:tcW w:w="1350" w:type="dxa"/>
            <w:tcBorders>
              <w:top w:val="single" w:sz="6" w:space="0" w:color="auto"/>
              <w:left w:val="single" w:sz="6" w:space="0" w:color="auto"/>
              <w:bottom w:val="single" w:sz="6" w:space="0" w:color="auto"/>
              <w:right w:val="single" w:sz="6" w:space="0" w:color="auto"/>
            </w:tcBorders>
          </w:tcPr>
          <w:p w14:paraId="445CD4E0"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10/1/11</w:t>
            </w:r>
          </w:p>
        </w:tc>
        <w:tc>
          <w:tcPr>
            <w:tcW w:w="2400" w:type="dxa"/>
            <w:tcBorders>
              <w:top w:val="single" w:sz="6" w:space="0" w:color="auto"/>
              <w:left w:val="single" w:sz="6" w:space="0" w:color="auto"/>
              <w:bottom w:val="single" w:sz="6" w:space="0" w:color="auto"/>
              <w:right w:val="single" w:sz="6" w:space="0" w:color="auto"/>
            </w:tcBorders>
          </w:tcPr>
          <w:p w14:paraId="385F5CEF"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Нацiональна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комiсiя</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цiнних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паперiв</w:t>
            </w:r>
            <w:proofErr w:type="spellEnd"/>
            <w:r w:rsidRPr="004229C1">
              <w:rPr>
                <w:rFonts w:ascii="Times New Roman" w:hAnsi="Times New Roman" w:cs="Times New Roman"/>
                <w:kern w:val="0"/>
                <w:sz w:val="22"/>
                <w:szCs w:val="22"/>
                <w:lang w:val="uk-UA"/>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3D7D0235"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UA4000068167</w:t>
            </w:r>
          </w:p>
        </w:tc>
        <w:tc>
          <w:tcPr>
            <w:tcW w:w="1600" w:type="dxa"/>
            <w:tcBorders>
              <w:top w:val="single" w:sz="6" w:space="0" w:color="auto"/>
              <w:left w:val="single" w:sz="6" w:space="0" w:color="auto"/>
              <w:bottom w:val="single" w:sz="6" w:space="0" w:color="auto"/>
              <w:right w:val="single" w:sz="6" w:space="0" w:color="auto"/>
            </w:tcBorders>
          </w:tcPr>
          <w:p w14:paraId="7FCA8CBB" w14:textId="02D35338"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Акція привілейована іменна</w:t>
            </w:r>
          </w:p>
        </w:tc>
        <w:tc>
          <w:tcPr>
            <w:tcW w:w="1350" w:type="dxa"/>
            <w:tcBorders>
              <w:top w:val="single" w:sz="6" w:space="0" w:color="auto"/>
              <w:left w:val="single" w:sz="6" w:space="0" w:color="auto"/>
              <w:bottom w:val="single" w:sz="6" w:space="0" w:color="auto"/>
              <w:right w:val="single" w:sz="6" w:space="0" w:color="auto"/>
            </w:tcBorders>
          </w:tcPr>
          <w:p w14:paraId="1885EE34"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650FF590"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0,58</w:t>
            </w:r>
          </w:p>
        </w:tc>
        <w:tc>
          <w:tcPr>
            <w:tcW w:w="1200" w:type="dxa"/>
            <w:tcBorders>
              <w:top w:val="single" w:sz="6" w:space="0" w:color="auto"/>
              <w:left w:val="single" w:sz="6" w:space="0" w:color="auto"/>
              <w:bottom w:val="single" w:sz="6" w:space="0" w:color="auto"/>
              <w:right w:val="single" w:sz="6" w:space="0" w:color="auto"/>
            </w:tcBorders>
          </w:tcPr>
          <w:p w14:paraId="304C89C1"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1 500 000</w:t>
            </w:r>
          </w:p>
        </w:tc>
        <w:tc>
          <w:tcPr>
            <w:tcW w:w="1400" w:type="dxa"/>
            <w:tcBorders>
              <w:top w:val="single" w:sz="6" w:space="0" w:color="auto"/>
              <w:left w:val="single" w:sz="6" w:space="0" w:color="auto"/>
              <w:bottom w:val="single" w:sz="6" w:space="0" w:color="auto"/>
              <w:right w:val="single" w:sz="6" w:space="0" w:color="auto"/>
            </w:tcBorders>
          </w:tcPr>
          <w:p w14:paraId="034D6EEF"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870 000</w:t>
            </w:r>
          </w:p>
        </w:tc>
        <w:tc>
          <w:tcPr>
            <w:tcW w:w="1700" w:type="dxa"/>
            <w:tcBorders>
              <w:top w:val="single" w:sz="6" w:space="0" w:color="auto"/>
              <w:left w:val="single" w:sz="6" w:space="0" w:color="auto"/>
              <w:bottom w:val="single" w:sz="6" w:space="0" w:color="auto"/>
            </w:tcBorders>
          </w:tcPr>
          <w:p w14:paraId="4CA574AE" w14:textId="002C395B"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w:t>
            </w:r>
            <w:r w:rsidR="003675D2" w:rsidRPr="004229C1">
              <w:rPr>
                <w:rFonts w:ascii="Times New Roman" w:hAnsi="Times New Roman" w:cs="Times New Roman"/>
                <w:kern w:val="0"/>
                <w:sz w:val="22"/>
                <w:szCs w:val="22"/>
                <w:lang w:val="uk-UA"/>
              </w:rPr>
              <w:t>06937</w:t>
            </w:r>
          </w:p>
        </w:tc>
      </w:tr>
      <w:tr w:rsidR="0037515F" w:rsidRPr="004229C1" w14:paraId="794FBA03" w14:textId="77777777" w:rsidTr="00FA3E07">
        <w:trPr>
          <w:trHeight w:val="200"/>
        </w:trPr>
        <w:tc>
          <w:tcPr>
            <w:tcW w:w="2600" w:type="dxa"/>
            <w:gridSpan w:val="2"/>
            <w:tcBorders>
              <w:top w:val="single" w:sz="6" w:space="0" w:color="auto"/>
              <w:bottom w:val="single" w:sz="6" w:space="0" w:color="auto"/>
              <w:right w:val="single" w:sz="6" w:space="0" w:color="auto"/>
            </w:tcBorders>
          </w:tcPr>
          <w:p w14:paraId="20DE7D89" w14:textId="77777777" w:rsidR="0037515F" w:rsidRPr="004229C1" w:rsidRDefault="0037515F" w:rsidP="00FA3E0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1282C033"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Акцiї</w:t>
            </w:r>
            <w:proofErr w:type="spellEnd"/>
            <w:r w:rsidRPr="004229C1">
              <w:rPr>
                <w:rFonts w:ascii="Times New Roman" w:hAnsi="Times New Roman" w:cs="Times New Roman"/>
                <w:kern w:val="0"/>
                <w:sz w:val="22"/>
                <w:szCs w:val="22"/>
                <w:lang w:val="uk-UA"/>
              </w:rPr>
              <w:t xml:space="preserve"> АТ "ПРАВЕКС БАНК" (</w:t>
            </w:r>
            <w:proofErr w:type="spellStart"/>
            <w:r w:rsidRPr="004229C1">
              <w:rPr>
                <w:rFonts w:ascii="Times New Roman" w:hAnsi="Times New Roman" w:cs="Times New Roman"/>
                <w:kern w:val="0"/>
                <w:sz w:val="22"/>
                <w:szCs w:val="22"/>
                <w:lang w:val="uk-UA"/>
              </w:rPr>
              <w:t>простi</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привiлейованi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включенi</w:t>
            </w:r>
            <w:proofErr w:type="spellEnd"/>
            <w:r w:rsidRPr="004229C1">
              <w:rPr>
                <w:rFonts w:ascii="Times New Roman" w:hAnsi="Times New Roman" w:cs="Times New Roman"/>
                <w:kern w:val="0"/>
                <w:sz w:val="22"/>
                <w:szCs w:val="22"/>
                <w:lang w:val="uk-UA"/>
              </w:rPr>
              <w:t xml:space="preserve">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Списку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без включення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реєстру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Операцiйного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04.04.2012).</w:t>
            </w:r>
          </w:p>
          <w:p w14:paraId="3D141D53"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p w14:paraId="47B5C6DA"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 дати включення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АТ "ПРАВЕКС БАНК" до </w:t>
            </w:r>
            <w:proofErr w:type="spellStart"/>
            <w:r w:rsidRPr="004229C1">
              <w:rPr>
                <w:rFonts w:ascii="Times New Roman" w:hAnsi="Times New Roman" w:cs="Times New Roman"/>
                <w:kern w:val="0"/>
                <w:sz w:val="22"/>
                <w:szCs w:val="22"/>
                <w:lang w:val="uk-UA"/>
              </w:rPr>
              <w:t>Бiржового</w:t>
            </w:r>
            <w:proofErr w:type="spellEnd"/>
            <w:r w:rsidRPr="004229C1">
              <w:rPr>
                <w:rFonts w:ascii="Times New Roman" w:hAnsi="Times New Roman" w:cs="Times New Roman"/>
                <w:kern w:val="0"/>
                <w:sz w:val="22"/>
                <w:szCs w:val="22"/>
                <w:lang w:val="uk-UA"/>
              </w:rPr>
              <w:t xml:space="preserve"> Списку АТ "Фондова </w:t>
            </w:r>
            <w:proofErr w:type="spellStart"/>
            <w:r w:rsidRPr="004229C1">
              <w:rPr>
                <w:rFonts w:ascii="Times New Roman" w:hAnsi="Times New Roman" w:cs="Times New Roman"/>
                <w:kern w:val="0"/>
                <w:sz w:val="22"/>
                <w:szCs w:val="22"/>
                <w:lang w:val="uk-UA"/>
              </w:rPr>
              <w:t>бiржа</w:t>
            </w:r>
            <w:proofErr w:type="spellEnd"/>
            <w:r w:rsidRPr="004229C1">
              <w:rPr>
                <w:rFonts w:ascii="Times New Roman" w:hAnsi="Times New Roman" w:cs="Times New Roman"/>
                <w:kern w:val="0"/>
                <w:sz w:val="22"/>
                <w:szCs w:val="22"/>
                <w:lang w:val="uk-UA"/>
              </w:rPr>
              <w:t xml:space="preserve"> ПФТС" єдиним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АТ "ПРАВЕКС БАНК" була i залишається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С.п.А</w:t>
            </w:r>
            <w:proofErr w:type="spellEnd"/>
            <w:r w:rsidRPr="004229C1">
              <w:rPr>
                <w:rFonts w:ascii="Times New Roman" w:hAnsi="Times New Roman" w:cs="Times New Roman"/>
                <w:kern w:val="0"/>
                <w:sz w:val="22"/>
                <w:szCs w:val="22"/>
                <w:lang w:val="uk-UA"/>
              </w:rPr>
              <w:t xml:space="preserve">.; угод щодо </w:t>
            </w:r>
            <w:proofErr w:type="spellStart"/>
            <w:r w:rsidRPr="004229C1">
              <w:rPr>
                <w:rFonts w:ascii="Times New Roman" w:hAnsi="Times New Roman" w:cs="Times New Roman"/>
                <w:kern w:val="0"/>
                <w:sz w:val="22"/>
                <w:szCs w:val="22"/>
                <w:lang w:val="uk-UA"/>
              </w:rPr>
              <w:t>купiвлi</w:t>
            </w:r>
            <w:proofErr w:type="spellEnd"/>
            <w:r w:rsidRPr="004229C1">
              <w:rPr>
                <w:rFonts w:ascii="Times New Roman" w:hAnsi="Times New Roman" w:cs="Times New Roman"/>
                <w:kern w:val="0"/>
                <w:sz w:val="22"/>
                <w:szCs w:val="22"/>
                <w:lang w:val="uk-UA"/>
              </w:rPr>
              <w:t xml:space="preserve">-продажу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АТ "ПРАВЕКС БАНК" не укладалось.</w:t>
            </w:r>
          </w:p>
          <w:p w14:paraId="239A80E6"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bl>
    <w:p w14:paraId="02A009B8" w14:textId="77777777" w:rsidR="0037515F" w:rsidRPr="004229C1" w:rsidRDefault="0037515F" w:rsidP="0037515F">
      <w:pPr>
        <w:widowControl w:val="0"/>
        <w:autoSpaceDE w:val="0"/>
        <w:autoSpaceDN w:val="0"/>
        <w:adjustRightInd w:val="0"/>
        <w:spacing w:after="0" w:line="240" w:lineRule="auto"/>
        <w:rPr>
          <w:rFonts w:ascii="Times New Roman" w:hAnsi="Times New Roman" w:cs="Times New Roman"/>
          <w:kern w:val="0"/>
          <w:sz w:val="22"/>
          <w:szCs w:val="22"/>
          <w:lang w:val="uk-UA"/>
        </w:rPr>
      </w:pPr>
    </w:p>
    <w:p w14:paraId="50A17870" w14:textId="77777777" w:rsidR="0037515F" w:rsidRPr="004229C1" w:rsidRDefault="0037515F" w:rsidP="0037515F">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37515F" w:rsidRPr="004229C1" w14:paraId="6E797381" w14:textId="77777777" w:rsidTr="00FA3E07">
        <w:trPr>
          <w:trHeight w:val="300"/>
        </w:trPr>
        <w:tc>
          <w:tcPr>
            <w:tcW w:w="1500" w:type="dxa"/>
            <w:tcBorders>
              <w:top w:val="single" w:sz="6" w:space="0" w:color="auto"/>
              <w:bottom w:val="single" w:sz="6" w:space="0" w:color="auto"/>
              <w:right w:val="single" w:sz="6" w:space="0" w:color="auto"/>
            </w:tcBorders>
            <w:vAlign w:val="center"/>
          </w:tcPr>
          <w:p w14:paraId="5D963B0D"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676454CF"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0F168968"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6EA20616"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58D079B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50DB62B0"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0B65CCA9"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5B693740"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Кількість голосуючих акцій, права голосу за якими за результатами обмеження таких прав передано іншій особі, шт.</w:t>
            </w:r>
          </w:p>
        </w:tc>
      </w:tr>
      <w:tr w:rsidR="0037515F" w:rsidRPr="004229C1" w14:paraId="35E283F9" w14:textId="77777777" w:rsidTr="00FA3E07">
        <w:trPr>
          <w:trHeight w:val="300"/>
        </w:trPr>
        <w:tc>
          <w:tcPr>
            <w:tcW w:w="1500" w:type="dxa"/>
            <w:tcBorders>
              <w:top w:val="single" w:sz="6" w:space="0" w:color="auto"/>
              <w:bottom w:val="single" w:sz="6" w:space="0" w:color="auto"/>
              <w:right w:val="single" w:sz="6" w:space="0" w:color="auto"/>
            </w:tcBorders>
            <w:vAlign w:val="center"/>
          </w:tcPr>
          <w:p w14:paraId="44511339"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2000" w:type="dxa"/>
            <w:tcBorders>
              <w:top w:val="single" w:sz="6" w:space="0" w:color="auto"/>
              <w:left w:val="single" w:sz="6" w:space="0" w:color="auto"/>
              <w:bottom w:val="single" w:sz="6" w:space="0" w:color="auto"/>
              <w:right w:val="single" w:sz="6" w:space="0" w:color="auto"/>
            </w:tcBorders>
            <w:vAlign w:val="center"/>
          </w:tcPr>
          <w:p w14:paraId="755B592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2000" w:type="dxa"/>
            <w:tcBorders>
              <w:top w:val="single" w:sz="6" w:space="0" w:color="auto"/>
              <w:left w:val="single" w:sz="6" w:space="0" w:color="auto"/>
              <w:bottom w:val="single" w:sz="6" w:space="0" w:color="auto"/>
              <w:right w:val="single" w:sz="6" w:space="0" w:color="auto"/>
            </w:tcBorders>
            <w:vAlign w:val="center"/>
          </w:tcPr>
          <w:p w14:paraId="4C7933F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2000" w:type="dxa"/>
            <w:tcBorders>
              <w:top w:val="single" w:sz="6" w:space="0" w:color="auto"/>
              <w:left w:val="single" w:sz="6" w:space="0" w:color="auto"/>
              <w:bottom w:val="single" w:sz="6" w:space="0" w:color="auto"/>
              <w:right w:val="single" w:sz="6" w:space="0" w:color="auto"/>
            </w:tcBorders>
            <w:vAlign w:val="center"/>
          </w:tcPr>
          <w:p w14:paraId="60CC81E5"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2100" w:type="dxa"/>
            <w:tcBorders>
              <w:top w:val="single" w:sz="6" w:space="0" w:color="auto"/>
              <w:left w:val="single" w:sz="6" w:space="0" w:color="auto"/>
              <w:bottom w:val="single" w:sz="6" w:space="0" w:color="auto"/>
              <w:right w:val="single" w:sz="6" w:space="0" w:color="auto"/>
            </w:tcBorders>
            <w:vAlign w:val="center"/>
          </w:tcPr>
          <w:p w14:paraId="20A01A3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c>
          <w:tcPr>
            <w:tcW w:w="1500" w:type="dxa"/>
            <w:tcBorders>
              <w:top w:val="single" w:sz="6" w:space="0" w:color="auto"/>
              <w:left w:val="single" w:sz="6" w:space="0" w:color="auto"/>
              <w:bottom w:val="single" w:sz="6" w:space="0" w:color="auto"/>
              <w:right w:val="single" w:sz="6" w:space="0" w:color="auto"/>
            </w:tcBorders>
            <w:vAlign w:val="center"/>
          </w:tcPr>
          <w:p w14:paraId="391B6D27"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p>
        </w:tc>
        <w:tc>
          <w:tcPr>
            <w:tcW w:w="1500" w:type="dxa"/>
            <w:tcBorders>
              <w:top w:val="single" w:sz="6" w:space="0" w:color="auto"/>
              <w:left w:val="single" w:sz="6" w:space="0" w:color="auto"/>
              <w:bottom w:val="single" w:sz="6" w:space="0" w:color="auto"/>
              <w:right w:val="single" w:sz="6" w:space="0" w:color="auto"/>
            </w:tcBorders>
            <w:vAlign w:val="center"/>
          </w:tcPr>
          <w:p w14:paraId="6C374695"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2800" w:type="dxa"/>
            <w:tcBorders>
              <w:top w:val="single" w:sz="6" w:space="0" w:color="auto"/>
              <w:left w:val="single" w:sz="6" w:space="0" w:color="auto"/>
              <w:bottom w:val="single" w:sz="6" w:space="0" w:color="auto"/>
            </w:tcBorders>
            <w:vAlign w:val="center"/>
          </w:tcPr>
          <w:p w14:paraId="1F9BC508"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w:t>
            </w:r>
          </w:p>
        </w:tc>
      </w:tr>
      <w:tr w:rsidR="0037515F" w:rsidRPr="004229C1" w14:paraId="0029D6C5" w14:textId="77777777" w:rsidTr="00FA3E07">
        <w:trPr>
          <w:trHeight w:val="300"/>
        </w:trPr>
        <w:tc>
          <w:tcPr>
            <w:tcW w:w="1500" w:type="dxa"/>
            <w:tcBorders>
              <w:top w:val="single" w:sz="6" w:space="0" w:color="auto"/>
              <w:bottom w:val="single" w:sz="6" w:space="0" w:color="auto"/>
              <w:right w:val="single" w:sz="6" w:space="0" w:color="auto"/>
            </w:tcBorders>
          </w:tcPr>
          <w:p w14:paraId="4DEDA68C"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25.04.2024</w:t>
            </w:r>
          </w:p>
        </w:tc>
        <w:tc>
          <w:tcPr>
            <w:tcW w:w="2000" w:type="dxa"/>
            <w:tcBorders>
              <w:top w:val="single" w:sz="6" w:space="0" w:color="auto"/>
              <w:left w:val="single" w:sz="6" w:space="0" w:color="auto"/>
              <w:bottom w:val="single" w:sz="6" w:space="0" w:color="auto"/>
              <w:right w:val="single" w:sz="6" w:space="0" w:color="auto"/>
            </w:tcBorders>
          </w:tcPr>
          <w:p w14:paraId="311B2074"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15/1/2024</w:t>
            </w:r>
          </w:p>
        </w:tc>
        <w:tc>
          <w:tcPr>
            <w:tcW w:w="2000" w:type="dxa"/>
            <w:tcBorders>
              <w:top w:val="single" w:sz="6" w:space="0" w:color="auto"/>
              <w:left w:val="single" w:sz="6" w:space="0" w:color="auto"/>
              <w:bottom w:val="single" w:sz="6" w:space="0" w:color="auto"/>
              <w:right w:val="single" w:sz="6" w:space="0" w:color="auto"/>
            </w:tcBorders>
          </w:tcPr>
          <w:p w14:paraId="78B8C293"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UA4000068159</w:t>
            </w:r>
          </w:p>
        </w:tc>
        <w:tc>
          <w:tcPr>
            <w:tcW w:w="2000" w:type="dxa"/>
            <w:tcBorders>
              <w:top w:val="single" w:sz="6" w:space="0" w:color="auto"/>
              <w:left w:val="single" w:sz="6" w:space="0" w:color="auto"/>
              <w:bottom w:val="single" w:sz="6" w:space="0" w:color="auto"/>
              <w:right w:val="single" w:sz="6" w:space="0" w:color="auto"/>
            </w:tcBorders>
          </w:tcPr>
          <w:p w14:paraId="630D89B2"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2 160 836 808</w:t>
            </w:r>
          </w:p>
        </w:tc>
        <w:tc>
          <w:tcPr>
            <w:tcW w:w="2100" w:type="dxa"/>
            <w:tcBorders>
              <w:top w:val="single" w:sz="6" w:space="0" w:color="auto"/>
              <w:left w:val="single" w:sz="6" w:space="0" w:color="auto"/>
              <w:bottom w:val="single" w:sz="6" w:space="0" w:color="auto"/>
              <w:right w:val="single" w:sz="6" w:space="0" w:color="auto"/>
            </w:tcBorders>
          </w:tcPr>
          <w:p w14:paraId="19685B17"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1 253 285 348,64</w:t>
            </w:r>
          </w:p>
        </w:tc>
        <w:tc>
          <w:tcPr>
            <w:tcW w:w="1500" w:type="dxa"/>
            <w:tcBorders>
              <w:top w:val="single" w:sz="6" w:space="0" w:color="auto"/>
              <w:left w:val="single" w:sz="6" w:space="0" w:color="auto"/>
              <w:bottom w:val="single" w:sz="6" w:space="0" w:color="auto"/>
              <w:right w:val="single" w:sz="6" w:space="0" w:color="auto"/>
            </w:tcBorders>
          </w:tcPr>
          <w:p w14:paraId="537B4AA2"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2 160 836 808</w:t>
            </w:r>
          </w:p>
        </w:tc>
        <w:tc>
          <w:tcPr>
            <w:tcW w:w="1500" w:type="dxa"/>
            <w:tcBorders>
              <w:top w:val="single" w:sz="6" w:space="0" w:color="auto"/>
              <w:left w:val="single" w:sz="6" w:space="0" w:color="auto"/>
              <w:bottom w:val="single" w:sz="6" w:space="0" w:color="auto"/>
              <w:right w:val="single" w:sz="6" w:space="0" w:color="auto"/>
            </w:tcBorders>
          </w:tcPr>
          <w:p w14:paraId="3BEB1B6B"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w:t>
            </w:r>
          </w:p>
        </w:tc>
        <w:tc>
          <w:tcPr>
            <w:tcW w:w="2800" w:type="dxa"/>
            <w:tcBorders>
              <w:top w:val="single" w:sz="6" w:space="0" w:color="auto"/>
              <w:left w:val="single" w:sz="6" w:space="0" w:color="auto"/>
              <w:bottom w:val="single" w:sz="6" w:space="0" w:color="auto"/>
            </w:tcBorders>
          </w:tcPr>
          <w:p w14:paraId="4587A74C"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w:t>
            </w:r>
          </w:p>
        </w:tc>
      </w:tr>
      <w:tr w:rsidR="0037515F" w:rsidRPr="004229C1" w14:paraId="0507BC62" w14:textId="77777777" w:rsidTr="00FA3E07">
        <w:trPr>
          <w:trHeight w:val="300"/>
        </w:trPr>
        <w:tc>
          <w:tcPr>
            <w:tcW w:w="1500" w:type="dxa"/>
            <w:tcBorders>
              <w:top w:val="single" w:sz="6" w:space="0" w:color="auto"/>
              <w:bottom w:val="single" w:sz="6" w:space="0" w:color="auto"/>
              <w:right w:val="single" w:sz="6" w:space="0" w:color="auto"/>
            </w:tcBorders>
          </w:tcPr>
          <w:p w14:paraId="6020F3F8" w14:textId="77777777" w:rsidR="0037515F" w:rsidRPr="004229C1" w:rsidRDefault="0037515F" w:rsidP="00FA3E0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Додаткова інформація</w:t>
            </w:r>
          </w:p>
        </w:tc>
        <w:tc>
          <w:tcPr>
            <w:tcW w:w="13900" w:type="dxa"/>
            <w:gridSpan w:val="7"/>
            <w:tcBorders>
              <w:top w:val="single" w:sz="6" w:space="0" w:color="auto"/>
              <w:left w:val="single" w:sz="6" w:space="0" w:color="auto"/>
              <w:bottom w:val="single" w:sz="6" w:space="0" w:color="auto"/>
            </w:tcBorders>
          </w:tcPr>
          <w:p w14:paraId="6B3C57F8"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37515F" w:rsidRPr="004229C1" w14:paraId="2AD36B03" w14:textId="77777777" w:rsidTr="00FA3E07">
        <w:trPr>
          <w:trHeight w:val="300"/>
        </w:trPr>
        <w:tc>
          <w:tcPr>
            <w:tcW w:w="1500" w:type="dxa"/>
            <w:tcBorders>
              <w:top w:val="single" w:sz="6" w:space="0" w:color="auto"/>
              <w:bottom w:val="single" w:sz="6" w:space="0" w:color="auto"/>
              <w:right w:val="single" w:sz="6" w:space="0" w:color="auto"/>
            </w:tcBorders>
          </w:tcPr>
          <w:p w14:paraId="14D2B5AD"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05.01.2011</w:t>
            </w:r>
          </w:p>
        </w:tc>
        <w:tc>
          <w:tcPr>
            <w:tcW w:w="2000" w:type="dxa"/>
            <w:tcBorders>
              <w:top w:val="single" w:sz="6" w:space="0" w:color="auto"/>
              <w:left w:val="single" w:sz="6" w:space="0" w:color="auto"/>
              <w:bottom w:val="single" w:sz="6" w:space="0" w:color="auto"/>
              <w:right w:val="single" w:sz="6" w:space="0" w:color="auto"/>
            </w:tcBorders>
          </w:tcPr>
          <w:p w14:paraId="7290588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10/1/11</w:t>
            </w:r>
          </w:p>
        </w:tc>
        <w:tc>
          <w:tcPr>
            <w:tcW w:w="2000" w:type="dxa"/>
            <w:tcBorders>
              <w:top w:val="single" w:sz="6" w:space="0" w:color="auto"/>
              <w:left w:val="single" w:sz="6" w:space="0" w:color="auto"/>
              <w:bottom w:val="single" w:sz="6" w:space="0" w:color="auto"/>
              <w:right w:val="single" w:sz="6" w:space="0" w:color="auto"/>
            </w:tcBorders>
          </w:tcPr>
          <w:p w14:paraId="26A22DF5"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UA4000068167</w:t>
            </w:r>
          </w:p>
        </w:tc>
        <w:tc>
          <w:tcPr>
            <w:tcW w:w="2000" w:type="dxa"/>
            <w:tcBorders>
              <w:top w:val="single" w:sz="6" w:space="0" w:color="auto"/>
              <w:left w:val="single" w:sz="6" w:space="0" w:color="auto"/>
              <w:bottom w:val="single" w:sz="6" w:space="0" w:color="auto"/>
              <w:right w:val="single" w:sz="6" w:space="0" w:color="auto"/>
            </w:tcBorders>
          </w:tcPr>
          <w:p w14:paraId="36C9D8E9"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1 500 000</w:t>
            </w:r>
          </w:p>
        </w:tc>
        <w:tc>
          <w:tcPr>
            <w:tcW w:w="2100" w:type="dxa"/>
            <w:tcBorders>
              <w:top w:val="single" w:sz="6" w:space="0" w:color="auto"/>
              <w:left w:val="single" w:sz="6" w:space="0" w:color="auto"/>
              <w:bottom w:val="single" w:sz="6" w:space="0" w:color="auto"/>
              <w:right w:val="single" w:sz="6" w:space="0" w:color="auto"/>
            </w:tcBorders>
          </w:tcPr>
          <w:p w14:paraId="7893325D"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870 000</w:t>
            </w:r>
          </w:p>
        </w:tc>
        <w:tc>
          <w:tcPr>
            <w:tcW w:w="1500" w:type="dxa"/>
            <w:tcBorders>
              <w:top w:val="single" w:sz="6" w:space="0" w:color="auto"/>
              <w:left w:val="single" w:sz="6" w:space="0" w:color="auto"/>
              <w:bottom w:val="single" w:sz="6" w:space="0" w:color="auto"/>
              <w:right w:val="single" w:sz="6" w:space="0" w:color="auto"/>
            </w:tcBorders>
          </w:tcPr>
          <w:p w14:paraId="4200242E"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1 500 000</w:t>
            </w:r>
          </w:p>
        </w:tc>
        <w:tc>
          <w:tcPr>
            <w:tcW w:w="1500" w:type="dxa"/>
            <w:tcBorders>
              <w:top w:val="single" w:sz="6" w:space="0" w:color="auto"/>
              <w:left w:val="single" w:sz="6" w:space="0" w:color="auto"/>
              <w:bottom w:val="single" w:sz="6" w:space="0" w:color="auto"/>
              <w:right w:val="single" w:sz="6" w:space="0" w:color="auto"/>
            </w:tcBorders>
          </w:tcPr>
          <w:p w14:paraId="1A78BF12"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w:t>
            </w:r>
          </w:p>
        </w:tc>
        <w:tc>
          <w:tcPr>
            <w:tcW w:w="2800" w:type="dxa"/>
            <w:tcBorders>
              <w:top w:val="single" w:sz="6" w:space="0" w:color="auto"/>
              <w:left w:val="single" w:sz="6" w:space="0" w:color="auto"/>
              <w:bottom w:val="single" w:sz="6" w:space="0" w:color="auto"/>
            </w:tcBorders>
          </w:tcPr>
          <w:p w14:paraId="2546DE85" w14:textId="77777777" w:rsidR="0037515F" w:rsidRPr="004229C1" w:rsidRDefault="0037515F" w:rsidP="00FA3E0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w:t>
            </w:r>
          </w:p>
        </w:tc>
      </w:tr>
      <w:tr w:rsidR="0037515F" w:rsidRPr="004229C1" w14:paraId="7AD079DD" w14:textId="77777777" w:rsidTr="00FA3E07">
        <w:trPr>
          <w:trHeight w:val="300"/>
        </w:trPr>
        <w:tc>
          <w:tcPr>
            <w:tcW w:w="1500" w:type="dxa"/>
            <w:tcBorders>
              <w:top w:val="single" w:sz="6" w:space="0" w:color="auto"/>
              <w:bottom w:val="single" w:sz="6" w:space="0" w:color="auto"/>
              <w:right w:val="single" w:sz="6" w:space="0" w:color="auto"/>
            </w:tcBorders>
          </w:tcPr>
          <w:p w14:paraId="0BBD0BA3" w14:textId="77777777" w:rsidR="0037515F" w:rsidRPr="004229C1" w:rsidRDefault="0037515F" w:rsidP="00FA3E0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Додаткова інформація</w:t>
            </w:r>
          </w:p>
        </w:tc>
        <w:tc>
          <w:tcPr>
            <w:tcW w:w="13900" w:type="dxa"/>
            <w:gridSpan w:val="7"/>
            <w:tcBorders>
              <w:top w:val="single" w:sz="6" w:space="0" w:color="auto"/>
              <w:left w:val="single" w:sz="6" w:space="0" w:color="auto"/>
              <w:bottom w:val="single" w:sz="6" w:space="0" w:color="auto"/>
            </w:tcBorders>
          </w:tcPr>
          <w:p w14:paraId="6E7432DF" w14:textId="77777777" w:rsidR="0037515F" w:rsidRPr="004229C1" w:rsidRDefault="0037515F" w:rsidP="00FA3E07">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bl>
    <w:p w14:paraId="2AE00002" w14:textId="77777777" w:rsidR="0037515F" w:rsidRPr="004229C1" w:rsidRDefault="0037515F" w:rsidP="0037515F">
      <w:pPr>
        <w:widowControl w:val="0"/>
        <w:autoSpaceDE w:val="0"/>
        <w:autoSpaceDN w:val="0"/>
        <w:adjustRightInd w:val="0"/>
        <w:spacing w:after="0" w:line="240" w:lineRule="auto"/>
        <w:rPr>
          <w:rFonts w:ascii="Times New Roman" w:hAnsi="Times New Roman" w:cs="Times New Roman"/>
          <w:kern w:val="0"/>
          <w:sz w:val="22"/>
          <w:szCs w:val="22"/>
          <w:lang w:val="uk-UA"/>
        </w:rPr>
      </w:pPr>
    </w:p>
    <w:p w14:paraId="27F461A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sectPr w:rsidR="007469BF" w:rsidRPr="004229C1">
          <w:pgSz w:w="16837" w:h="11905" w:orient="landscape"/>
          <w:pgMar w:top="570" w:right="720" w:bottom="570" w:left="720" w:header="720" w:footer="720" w:gutter="0"/>
          <w:cols w:space="720"/>
          <w:noEndnote/>
        </w:sectPr>
      </w:pPr>
    </w:p>
    <w:p w14:paraId="655404BC" w14:textId="77777777" w:rsidR="007469BF" w:rsidRPr="004229C1" w:rsidRDefault="000B08A7" w:rsidP="00394FCC">
      <w:pPr>
        <w:pStyle w:val="Heading1"/>
        <w:rPr>
          <w:rFonts w:cs="Times New Roman"/>
          <w:lang w:val="uk-UA"/>
        </w:rPr>
      </w:pPr>
      <w:bookmarkStart w:id="15" w:name="_Toc200057391"/>
      <w:r w:rsidRPr="004229C1">
        <w:rPr>
          <w:rFonts w:cs="Times New Roman"/>
          <w:lang w:val="uk-UA"/>
        </w:rPr>
        <w:t>III. Фінансова інформація</w:t>
      </w:r>
      <w:bookmarkEnd w:id="15"/>
    </w:p>
    <w:p w14:paraId="634686CC" w14:textId="77777777" w:rsidR="007469BF" w:rsidRPr="004229C1" w:rsidRDefault="000B08A7" w:rsidP="00394FCC">
      <w:pPr>
        <w:pStyle w:val="Heading2"/>
        <w:rPr>
          <w:rFonts w:cs="Times New Roman"/>
          <w:lang w:val="uk-UA"/>
        </w:rPr>
      </w:pPr>
      <w:bookmarkStart w:id="16" w:name="_Toc200057392"/>
      <w:r w:rsidRPr="004229C1">
        <w:rPr>
          <w:rFonts w:cs="Times New Roman"/>
          <w:lang w:val="uk-UA"/>
        </w:rPr>
        <w:t>2. Річна фінансова звітність</w:t>
      </w:r>
      <w:bookmarkEnd w:id="16"/>
    </w:p>
    <w:p w14:paraId="23AE2C88" w14:textId="3BA0F968" w:rsidR="007469BF" w:rsidRPr="004229C1" w:rsidRDefault="00085CA8">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https://www.pravex.com.ua/storage/files/annual-report-for-the-year-ukr-pravex-bank-2024_1749195756.pdf</w:t>
      </w:r>
    </w:p>
    <w:p w14:paraId="6BEF30E0"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5232E88D" w14:textId="77777777" w:rsidR="007469BF" w:rsidRPr="004229C1" w:rsidRDefault="000B08A7" w:rsidP="00394FCC">
      <w:pPr>
        <w:pStyle w:val="Heading2"/>
        <w:rPr>
          <w:rFonts w:cs="Times New Roman"/>
          <w:lang w:val="uk-UA"/>
        </w:rPr>
      </w:pPr>
      <w:bookmarkStart w:id="17" w:name="_Toc200057393"/>
      <w:r w:rsidRPr="004229C1">
        <w:rPr>
          <w:rFonts w:cs="Times New Roman"/>
          <w:lang w:val="uk-UA"/>
        </w:rPr>
        <w:t>3. Аудиторський звіт до річної фінансової звітності</w:t>
      </w:r>
      <w:bookmarkEnd w:id="17"/>
    </w:p>
    <w:p w14:paraId="061047B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Довідка щодо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000"/>
      </w:tblGrid>
      <w:tr w:rsidR="00867A34" w:rsidRPr="004229C1" w14:paraId="238AA7A4" w14:textId="77777777">
        <w:trPr>
          <w:trHeight w:val="200"/>
        </w:trPr>
        <w:tc>
          <w:tcPr>
            <w:tcW w:w="700" w:type="dxa"/>
            <w:tcBorders>
              <w:top w:val="single" w:sz="6" w:space="0" w:color="auto"/>
              <w:bottom w:val="single" w:sz="6" w:space="0" w:color="auto"/>
              <w:right w:val="single" w:sz="6" w:space="0" w:color="auto"/>
            </w:tcBorders>
          </w:tcPr>
          <w:p w14:paraId="399BC678"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w:t>
            </w:r>
          </w:p>
        </w:tc>
        <w:tc>
          <w:tcPr>
            <w:tcW w:w="5300" w:type="dxa"/>
            <w:tcBorders>
              <w:top w:val="single" w:sz="6" w:space="0" w:color="auto"/>
              <w:left w:val="single" w:sz="6" w:space="0" w:color="auto"/>
              <w:bottom w:val="single" w:sz="6" w:space="0" w:color="auto"/>
              <w:right w:val="single" w:sz="6" w:space="0" w:color="auto"/>
            </w:tcBorders>
          </w:tcPr>
          <w:p w14:paraId="2819A9A9" w14:textId="0E31BE68"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Повне найменування</w:t>
            </w:r>
          </w:p>
        </w:tc>
        <w:tc>
          <w:tcPr>
            <w:tcW w:w="4000" w:type="dxa"/>
            <w:tcBorders>
              <w:top w:val="single" w:sz="6" w:space="0" w:color="auto"/>
              <w:left w:val="single" w:sz="6" w:space="0" w:color="auto"/>
              <w:bottom w:val="single" w:sz="6" w:space="0" w:color="auto"/>
            </w:tcBorders>
          </w:tcPr>
          <w:p w14:paraId="7B8E777B" w14:textId="48FFF7B5"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proofErr w:type="spellStart"/>
            <w:r w:rsidRPr="004229C1">
              <w:rPr>
                <w:rFonts w:ascii="Times New Roman" w:hAnsi="Times New Roman" w:cs="Times New Roman"/>
                <w:kern w:val="0"/>
                <w:lang w:val="uk-UA"/>
              </w:rPr>
              <w:t>Акцiонерне</w:t>
            </w:r>
            <w:proofErr w:type="spellEnd"/>
            <w:r w:rsidRPr="004229C1">
              <w:rPr>
                <w:rFonts w:ascii="Times New Roman" w:hAnsi="Times New Roman" w:cs="Times New Roman"/>
                <w:kern w:val="0"/>
                <w:lang w:val="uk-UA"/>
              </w:rPr>
              <w:t xml:space="preserve"> товариство "ПРАВЕКС БАНК"</w:t>
            </w:r>
          </w:p>
        </w:tc>
      </w:tr>
      <w:tr w:rsidR="00867A34" w:rsidRPr="004229C1" w14:paraId="21366928" w14:textId="77777777">
        <w:trPr>
          <w:trHeight w:val="200"/>
        </w:trPr>
        <w:tc>
          <w:tcPr>
            <w:tcW w:w="700" w:type="dxa"/>
            <w:tcBorders>
              <w:top w:val="single" w:sz="6" w:space="0" w:color="auto"/>
              <w:bottom w:val="single" w:sz="6" w:space="0" w:color="auto"/>
              <w:right w:val="single" w:sz="6" w:space="0" w:color="auto"/>
            </w:tcBorders>
          </w:tcPr>
          <w:p w14:paraId="194DFF18"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2</w:t>
            </w:r>
          </w:p>
        </w:tc>
        <w:tc>
          <w:tcPr>
            <w:tcW w:w="5300" w:type="dxa"/>
            <w:tcBorders>
              <w:top w:val="single" w:sz="6" w:space="0" w:color="auto"/>
              <w:left w:val="single" w:sz="6" w:space="0" w:color="auto"/>
              <w:bottom w:val="single" w:sz="6" w:space="0" w:color="auto"/>
              <w:right w:val="single" w:sz="6" w:space="0" w:color="auto"/>
            </w:tcBorders>
          </w:tcPr>
          <w:p w14:paraId="603FFE41" w14:textId="7A776273"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209E8D8" w14:textId="58C40A00"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14360920</w:t>
            </w:r>
          </w:p>
        </w:tc>
      </w:tr>
      <w:tr w:rsidR="00867A34" w:rsidRPr="004229C1" w14:paraId="44AEE32D" w14:textId="77777777">
        <w:trPr>
          <w:trHeight w:val="200"/>
        </w:trPr>
        <w:tc>
          <w:tcPr>
            <w:tcW w:w="700" w:type="dxa"/>
            <w:tcBorders>
              <w:top w:val="single" w:sz="6" w:space="0" w:color="auto"/>
              <w:bottom w:val="single" w:sz="6" w:space="0" w:color="auto"/>
              <w:right w:val="single" w:sz="6" w:space="0" w:color="auto"/>
            </w:tcBorders>
          </w:tcPr>
          <w:p w14:paraId="3F6CF055"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3</w:t>
            </w:r>
          </w:p>
        </w:tc>
        <w:tc>
          <w:tcPr>
            <w:tcW w:w="5300" w:type="dxa"/>
            <w:tcBorders>
              <w:top w:val="single" w:sz="6" w:space="0" w:color="auto"/>
              <w:left w:val="single" w:sz="6" w:space="0" w:color="auto"/>
              <w:bottom w:val="single" w:sz="6" w:space="0" w:color="auto"/>
              <w:right w:val="single" w:sz="6" w:space="0" w:color="auto"/>
            </w:tcBorders>
          </w:tcPr>
          <w:p w14:paraId="514CCDAF" w14:textId="3A085C87"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Найменування суб'єкта аудиторської діяльності</w:t>
            </w:r>
          </w:p>
        </w:tc>
        <w:tc>
          <w:tcPr>
            <w:tcW w:w="4000" w:type="dxa"/>
            <w:tcBorders>
              <w:top w:val="single" w:sz="6" w:space="0" w:color="auto"/>
              <w:left w:val="single" w:sz="6" w:space="0" w:color="auto"/>
              <w:bottom w:val="single" w:sz="6" w:space="0" w:color="auto"/>
            </w:tcBorders>
          </w:tcPr>
          <w:p w14:paraId="0A7BA67E" w14:textId="404268CA"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xml:space="preserve">Товариство з обмеженою </w:t>
            </w:r>
            <w:proofErr w:type="spellStart"/>
            <w:r w:rsidRPr="004229C1">
              <w:rPr>
                <w:rFonts w:ascii="Times New Roman" w:hAnsi="Times New Roman" w:cs="Times New Roman"/>
                <w:kern w:val="0"/>
                <w:lang w:val="uk-UA"/>
              </w:rPr>
              <w:t>вiдповiдальнiстю</w:t>
            </w:r>
            <w:proofErr w:type="spellEnd"/>
            <w:r w:rsidRPr="004229C1">
              <w:rPr>
                <w:rFonts w:ascii="Times New Roman" w:hAnsi="Times New Roman" w:cs="Times New Roman"/>
                <w:kern w:val="0"/>
                <w:lang w:val="uk-UA"/>
              </w:rPr>
              <w:t xml:space="preserve"> "Ернст </w:t>
            </w:r>
            <w:proofErr w:type="spellStart"/>
            <w:r w:rsidRPr="004229C1">
              <w:rPr>
                <w:rFonts w:ascii="Times New Roman" w:hAnsi="Times New Roman" w:cs="Times New Roman"/>
                <w:kern w:val="0"/>
                <w:lang w:val="uk-UA"/>
              </w:rPr>
              <w:t>енд</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Янг</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Аудиторськi</w:t>
            </w:r>
            <w:proofErr w:type="spellEnd"/>
            <w:r w:rsidRPr="004229C1">
              <w:rPr>
                <w:rFonts w:ascii="Times New Roman" w:hAnsi="Times New Roman" w:cs="Times New Roman"/>
                <w:kern w:val="0"/>
                <w:lang w:val="uk-UA"/>
              </w:rPr>
              <w:t xml:space="preserve"> Послуги"</w:t>
            </w:r>
          </w:p>
        </w:tc>
      </w:tr>
      <w:tr w:rsidR="00867A34" w:rsidRPr="004229C1" w14:paraId="11E9BE95" w14:textId="77777777">
        <w:trPr>
          <w:trHeight w:val="200"/>
        </w:trPr>
        <w:tc>
          <w:tcPr>
            <w:tcW w:w="700" w:type="dxa"/>
            <w:tcBorders>
              <w:top w:val="single" w:sz="6" w:space="0" w:color="auto"/>
              <w:bottom w:val="single" w:sz="6" w:space="0" w:color="auto"/>
              <w:right w:val="single" w:sz="6" w:space="0" w:color="auto"/>
            </w:tcBorders>
          </w:tcPr>
          <w:p w14:paraId="044E000E"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4</w:t>
            </w:r>
          </w:p>
        </w:tc>
        <w:tc>
          <w:tcPr>
            <w:tcW w:w="5300" w:type="dxa"/>
            <w:tcBorders>
              <w:top w:val="single" w:sz="6" w:space="0" w:color="auto"/>
              <w:left w:val="single" w:sz="6" w:space="0" w:color="auto"/>
              <w:bottom w:val="single" w:sz="6" w:space="0" w:color="auto"/>
              <w:right w:val="single" w:sz="6" w:space="0" w:color="auto"/>
            </w:tcBorders>
          </w:tcPr>
          <w:p w14:paraId="3F64D03C" w14:textId="74593AF6"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Ідентифікаційний код суб'єкта аудиторської діяльності</w:t>
            </w:r>
          </w:p>
        </w:tc>
        <w:tc>
          <w:tcPr>
            <w:tcW w:w="4000" w:type="dxa"/>
            <w:tcBorders>
              <w:top w:val="single" w:sz="6" w:space="0" w:color="auto"/>
              <w:left w:val="single" w:sz="6" w:space="0" w:color="auto"/>
              <w:bottom w:val="single" w:sz="6" w:space="0" w:color="auto"/>
            </w:tcBorders>
          </w:tcPr>
          <w:p w14:paraId="19955BA6" w14:textId="61115B41"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33306921</w:t>
            </w:r>
          </w:p>
        </w:tc>
      </w:tr>
      <w:tr w:rsidR="00867A34" w:rsidRPr="004229C1" w14:paraId="58A8C9E0" w14:textId="77777777">
        <w:trPr>
          <w:trHeight w:val="200"/>
        </w:trPr>
        <w:tc>
          <w:tcPr>
            <w:tcW w:w="700" w:type="dxa"/>
            <w:tcBorders>
              <w:top w:val="single" w:sz="6" w:space="0" w:color="auto"/>
              <w:bottom w:val="single" w:sz="6" w:space="0" w:color="auto"/>
              <w:right w:val="single" w:sz="6" w:space="0" w:color="auto"/>
            </w:tcBorders>
          </w:tcPr>
          <w:p w14:paraId="4F411459"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5</w:t>
            </w:r>
          </w:p>
        </w:tc>
        <w:tc>
          <w:tcPr>
            <w:tcW w:w="5300" w:type="dxa"/>
            <w:tcBorders>
              <w:top w:val="single" w:sz="6" w:space="0" w:color="auto"/>
              <w:left w:val="single" w:sz="6" w:space="0" w:color="auto"/>
              <w:bottom w:val="single" w:sz="6" w:space="0" w:color="auto"/>
              <w:right w:val="single" w:sz="6" w:space="0" w:color="auto"/>
            </w:tcBorders>
          </w:tcPr>
          <w:p w14:paraId="0EB67958" w14:textId="388F61AF"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000" w:type="dxa"/>
            <w:tcBorders>
              <w:top w:val="single" w:sz="6" w:space="0" w:color="auto"/>
              <w:left w:val="single" w:sz="6" w:space="0" w:color="auto"/>
              <w:bottom w:val="single" w:sz="6" w:space="0" w:color="auto"/>
            </w:tcBorders>
          </w:tcPr>
          <w:p w14:paraId="0959E4BD" w14:textId="66A44BF0"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w:t>
            </w:r>
          </w:p>
        </w:tc>
      </w:tr>
      <w:tr w:rsidR="00867A34" w:rsidRPr="004229C1" w14:paraId="717BEB33" w14:textId="77777777">
        <w:trPr>
          <w:trHeight w:val="200"/>
        </w:trPr>
        <w:tc>
          <w:tcPr>
            <w:tcW w:w="700" w:type="dxa"/>
            <w:tcBorders>
              <w:top w:val="single" w:sz="6" w:space="0" w:color="auto"/>
              <w:bottom w:val="single" w:sz="6" w:space="0" w:color="auto"/>
              <w:right w:val="single" w:sz="6" w:space="0" w:color="auto"/>
            </w:tcBorders>
          </w:tcPr>
          <w:p w14:paraId="5E557E73"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6</w:t>
            </w:r>
          </w:p>
        </w:tc>
        <w:tc>
          <w:tcPr>
            <w:tcW w:w="5300" w:type="dxa"/>
            <w:tcBorders>
              <w:top w:val="single" w:sz="6" w:space="0" w:color="auto"/>
              <w:left w:val="single" w:sz="6" w:space="0" w:color="auto"/>
              <w:bottom w:val="single" w:sz="6" w:space="0" w:color="auto"/>
              <w:right w:val="single" w:sz="6" w:space="0" w:color="auto"/>
            </w:tcBorders>
          </w:tcPr>
          <w:p w14:paraId="10E0E715" w14:textId="14B19140"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000" w:type="dxa"/>
            <w:tcBorders>
              <w:top w:val="single" w:sz="6" w:space="0" w:color="auto"/>
              <w:left w:val="single" w:sz="6" w:space="0" w:color="auto"/>
              <w:bottom w:val="single" w:sz="6" w:space="0" w:color="auto"/>
            </w:tcBorders>
          </w:tcPr>
          <w:p w14:paraId="1F0DDA49" w14:textId="47483128"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3516 27.12.2018</w:t>
            </w:r>
          </w:p>
        </w:tc>
      </w:tr>
      <w:tr w:rsidR="00867A34" w:rsidRPr="004229C1" w14:paraId="02FC1C34" w14:textId="77777777">
        <w:trPr>
          <w:trHeight w:val="200"/>
        </w:trPr>
        <w:tc>
          <w:tcPr>
            <w:tcW w:w="700" w:type="dxa"/>
            <w:tcBorders>
              <w:top w:val="single" w:sz="6" w:space="0" w:color="auto"/>
              <w:bottom w:val="single" w:sz="6" w:space="0" w:color="auto"/>
              <w:right w:val="single" w:sz="6" w:space="0" w:color="auto"/>
            </w:tcBorders>
          </w:tcPr>
          <w:p w14:paraId="39FAE4B6"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7</w:t>
            </w:r>
          </w:p>
        </w:tc>
        <w:tc>
          <w:tcPr>
            <w:tcW w:w="5300" w:type="dxa"/>
            <w:tcBorders>
              <w:top w:val="single" w:sz="6" w:space="0" w:color="auto"/>
              <w:left w:val="single" w:sz="6" w:space="0" w:color="auto"/>
              <w:bottom w:val="single" w:sz="6" w:space="0" w:color="auto"/>
              <w:right w:val="single" w:sz="6" w:space="0" w:color="auto"/>
            </w:tcBorders>
          </w:tcPr>
          <w:p w14:paraId="6924E438" w14:textId="10467A88"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14:paraId="47542AD6" w14:textId="3544F5C2"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w:t>
            </w:r>
          </w:p>
        </w:tc>
      </w:tr>
      <w:tr w:rsidR="00867A34" w:rsidRPr="004229C1" w14:paraId="7D5BC307" w14:textId="77777777">
        <w:trPr>
          <w:trHeight w:val="200"/>
        </w:trPr>
        <w:tc>
          <w:tcPr>
            <w:tcW w:w="700" w:type="dxa"/>
            <w:tcBorders>
              <w:top w:val="single" w:sz="6" w:space="0" w:color="auto"/>
              <w:bottom w:val="single" w:sz="6" w:space="0" w:color="auto"/>
              <w:right w:val="single" w:sz="6" w:space="0" w:color="auto"/>
            </w:tcBorders>
          </w:tcPr>
          <w:p w14:paraId="1CD29CCF"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8</w:t>
            </w:r>
          </w:p>
        </w:tc>
        <w:tc>
          <w:tcPr>
            <w:tcW w:w="5300" w:type="dxa"/>
            <w:tcBorders>
              <w:top w:val="single" w:sz="6" w:space="0" w:color="auto"/>
              <w:left w:val="single" w:sz="6" w:space="0" w:color="auto"/>
              <w:bottom w:val="single" w:sz="6" w:space="0" w:color="auto"/>
              <w:right w:val="single" w:sz="6" w:space="0" w:color="auto"/>
            </w:tcBorders>
          </w:tcPr>
          <w:p w14:paraId="56D6613B" w14:textId="35843A96"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становлять суспільний інтерес - "4")</w:t>
            </w:r>
          </w:p>
        </w:tc>
        <w:tc>
          <w:tcPr>
            <w:tcW w:w="4000" w:type="dxa"/>
            <w:tcBorders>
              <w:top w:val="single" w:sz="6" w:space="0" w:color="auto"/>
              <w:left w:val="single" w:sz="6" w:space="0" w:color="auto"/>
              <w:bottom w:val="single" w:sz="6" w:space="0" w:color="auto"/>
            </w:tcBorders>
          </w:tcPr>
          <w:p w14:paraId="795CEF78" w14:textId="1EB4606F"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суб'єкти аудиторської діяльності, які мають право проводити обов'язковий аудит фінансової звітності підприємств, що становлять суспільний інтерес - "4"</w:t>
            </w:r>
          </w:p>
        </w:tc>
      </w:tr>
      <w:tr w:rsidR="00867A34" w:rsidRPr="004229C1" w14:paraId="2C372C9C" w14:textId="77777777">
        <w:trPr>
          <w:trHeight w:val="200"/>
        </w:trPr>
        <w:tc>
          <w:tcPr>
            <w:tcW w:w="700" w:type="dxa"/>
            <w:tcBorders>
              <w:top w:val="single" w:sz="6" w:space="0" w:color="auto"/>
              <w:bottom w:val="single" w:sz="6" w:space="0" w:color="auto"/>
              <w:right w:val="single" w:sz="6" w:space="0" w:color="auto"/>
            </w:tcBorders>
          </w:tcPr>
          <w:p w14:paraId="4455EE3C"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9</w:t>
            </w:r>
          </w:p>
        </w:tc>
        <w:tc>
          <w:tcPr>
            <w:tcW w:w="5300" w:type="dxa"/>
            <w:tcBorders>
              <w:top w:val="single" w:sz="6" w:space="0" w:color="auto"/>
              <w:left w:val="single" w:sz="6" w:space="0" w:color="auto"/>
              <w:bottom w:val="single" w:sz="6" w:space="0" w:color="auto"/>
              <w:right w:val="single" w:sz="6" w:space="0" w:color="auto"/>
            </w:tcBorders>
          </w:tcPr>
          <w:p w14:paraId="2FA15607" w14:textId="37273D2E"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Звітний період, за який проведено аудит фінансової звітності</w:t>
            </w:r>
          </w:p>
        </w:tc>
        <w:tc>
          <w:tcPr>
            <w:tcW w:w="4000" w:type="dxa"/>
            <w:tcBorders>
              <w:top w:val="single" w:sz="6" w:space="0" w:color="auto"/>
              <w:left w:val="single" w:sz="6" w:space="0" w:color="auto"/>
              <w:bottom w:val="single" w:sz="6" w:space="0" w:color="auto"/>
            </w:tcBorders>
          </w:tcPr>
          <w:p w14:paraId="5B6E2967" w14:textId="24D34681"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з 01.01.2024 по 31.12.2024</w:t>
            </w:r>
          </w:p>
        </w:tc>
      </w:tr>
      <w:tr w:rsidR="00867A34" w:rsidRPr="004229C1" w14:paraId="746B1E76" w14:textId="77777777">
        <w:trPr>
          <w:trHeight w:val="200"/>
        </w:trPr>
        <w:tc>
          <w:tcPr>
            <w:tcW w:w="700" w:type="dxa"/>
            <w:tcBorders>
              <w:top w:val="single" w:sz="6" w:space="0" w:color="auto"/>
              <w:bottom w:val="single" w:sz="6" w:space="0" w:color="auto"/>
              <w:right w:val="single" w:sz="6" w:space="0" w:color="auto"/>
            </w:tcBorders>
          </w:tcPr>
          <w:p w14:paraId="5BB72E7E"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10</w:t>
            </w:r>
          </w:p>
        </w:tc>
        <w:tc>
          <w:tcPr>
            <w:tcW w:w="5300" w:type="dxa"/>
            <w:tcBorders>
              <w:top w:val="single" w:sz="6" w:space="0" w:color="auto"/>
              <w:left w:val="single" w:sz="6" w:space="0" w:color="auto"/>
              <w:bottom w:val="single" w:sz="6" w:space="0" w:color="auto"/>
              <w:right w:val="single" w:sz="6" w:space="0" w:color="auto"/>
            </w:tcBorders>
          </w:tcPr>
          <w:p w14:paraId="1D7F7F1A" w14:textId="599E89AF"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Думка аудитора (немодифікована - "01"; із застереженням - "02"; негативна - "03"; відмова від висловлення думки - "04")</w:t>
            </w:r>
          </w:p>
        </w:tc>
        <w:tc>
          <w:tcPr>
            <w:tcW w:w="4000" w:type="dxa"/>
            <w:tcBorders>
              <w:top w:val="single" w:sz="6" w:space="0" w:color="auto"/>
              <w:left w:val="single" w:sz="6" w:space="0" w:color="auto"/>
              <w:bottom w:val="single" w:sz="6" w:space="0" w:color="auto"/>
            </w:tcBorders>
          </w:tcPr>
          <w:p w14:paraId="3F3BCE6E" w14:textId="19E3E894" w:rsidR="00867A34" w:rsidRPr="004229C1" w:rsidRDefault="00085CA8" w:rsidP="00867A34">
            <w:pPr>
              <w:widowControl w:val="0"/>
              <w:autoSpaceDE w:val="0"/>
              <w:autoSpaceDN w:val="0"/>
              <w:adjustRightInd w:val="0"/>
              <w:spacing w:after="0" w:line="240" w:lineRule="auto"/>
              <w:rPr>
                <w:rFonts w:ascii="Times New Roman" w:hAnsi="Times New Roman" w:cs="Times New Roman"/>
                <w:kern w:val="0"/>
                <w:lang w:val="en-US"/>
              </w:rPr>
            </w:pPr>
            <w:r w:rsidRPr="004229C1">
              <w:rPr>
                <w:rFonts w:ascii="Times New Roman" w:hAnsi="Times New Roman" w:cs="Times New Roman"/>
                <w:kern w:val="0"/>
                <w:lang w:val="en-US"/>
              </w:rPr>
              <w:t>01</w:t>
            </w:r>
          </w:p>
        </w:tc>
      </w:tr>
      <w:tr w:rsidR="00867A34" w:rsidRPr="004229C1" w14:paraId="46BCCC61" w14:textId="77777777">
        <w:trPr>
          <w:trHeight w:val="200"/>
        </w:trPr>
        <w:tc>
          <w:tcPr>
            <w:tcW w:w="700" w:type="dxa"/>
            <w:tcBorders>
              <w:top w:val="single" w:sz="6" w:space="0" w:color="auto"/>
              <w:bottom w:val="single" w:sz="6" w:space="0" w:color="auto"/>
              <w:right w:val="single" w:sz="6" w:space="0" w:color="auto"/>
            </w:tcBorders>
          </w:tcPr>
          <w:p w14:paraId="4C7C802A"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11</w:t>
            </w:r>
          </w:p>
        </w:tc>
        <w:tc>
          <w:tcPr>
            <w:tcW w:w="5300" w:type="dxa"/>
            <w:tcBorders>
              <w:top w:val="single" w:sz="6" w:space="0" w:color="auto"/>
              <w:left w:val="single" w:sz="6" w:space="0" w:color="auto"/>
              <w:bottom w:val="single" w:sz="6" w:space="0" w:color="auto"/>
              <w:right w:val="single" w:sz="6" w:space="0" w:color="auto"/>
            </w:tcBorders>
          </w:tcPr>
          <w:p w14:paraId="5F4DA94B" w14:textId="74C7951D"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Номер та дата договору на проведення аудиту</w:t>
            </w:r>
          </w:p>
        </w:tc>
        <w:tc>
          <w:tcPr>
            <w:tcW w:w="4000" w:type="dxa"/>
            <w:tcBorders>
              <w:top w:val="single" w:sz="6" w:space="0" w:color="auto"/>
              <w:left w:val="single" w:sz="6" w:space="0" w:color="auto"/>
              <w:bottom w:val="single" w:sz="6" w:space="0" w:color="auto"/>
            </w:tcBorders>
          </w:tcPr>
          <w:p w14:paraId="41647A83" w14:textId="391B4F52"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 C-UA50-2024-ASU-2237 від 27.09.2024</w:t>
            </w:r>
          </w:p>
        </w:tc>
      </w:tr>
      <w:tr w:rsidR="00867A34" w:rsidRPr="004229C1" w14:paraId="2F138057" w14:textId="77777777">
        <w:trPr>
          <w:trHeight w:val="200"/>
        </w:trPr>
        <w:tc>
          <w:tcPr>
            <w:tcW w:w="700" w:type="dxa"/>
            <w:tcBorders>
              <w:top w:val="single" w:sz="6" w:space="0" w:color="auto"/>
              <w:bottom w:val="single" w:sz="6" w:space="0" w:color="auto"/>
              <w:right w:val="single" w:sz="6" w:space="0" w:color="auto"/>
            </w:tcBorders>
          </w:tcPr>
          <w:p w14:paraId="53F98871"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12</w:t>
            </w:r>
          </w:p>
        </w:tc>
        <w:tc>
          <w:tcPr>
            <w:tcW w:w="5300" w:type="dxa"/>
            <w:tcBorders>
              <w:top w:val="single" w:sz="6" w:space="0" w:color="auto"/>
              <w:left w:val="single" w:sz="6" w:space="0" w:color="auto"/>
              <w:bottom w:val="single" w:sz="6" w:space="0" w:color="auto"/>
              <w:right w:val="single" w:sz="6" w:space="0" w:color="auto"/>
            </w:tcBorders>
          </w:tcPr>
          <w:p w14:paraId="26F443C6" w14:textId="1E091E00"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Дата початку та дата закінчення аудиту</w:t>
            </w:r>
          </w:p>
        </w:tc>
        <w:tc>
          <w:tcPr>
            <w:tcW w:w="4000" w:type="dxa"/>
            <w:tcBorders>
              <w:top w:val="single" w:sz="6" w:space="0" w:color="auto"/>
              <w:left w:val="single" w:sz="6" w:space="0" w:color="auto"/>
              <w:bottom w:val="single" w:sz="6" w:space="0" w:color="auto"/>
            </w:tcBorders>
          </w:tcPr>
          <w:p w14:paraId="03D8CBEA" w14:textId="4C8B9C26"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з 3</w:t>
            </w:r>
            <w:r w:rsidR="00085CA8" w:rsidRPr="004229C1">
              <w:rPr>
                <w:rFonts w:ascii="Times New Roman" w:hAnsi="Times New Roman" w:cs="Times New Roman"/>
                <w:kern w:val="0"/>
                <w:lang w:val="en-US"/>
              </w:rPr>
              <w:t>0</w:t>
            </w:r>
            <w:r w:rsidRPr="004229C1">
              <w:rPr>
                <w:rFonts w:ascii="Times New Roman" w:hAnsi="Times New Roman" w:cs="Times New Roman"/>
                <w:kern w:val="0"/>
                <w:lang w:val="uk-UA"/>
              </w:rPr>
              <w:t>.</w:t>
            </w:r>
            <w:r w:rsidR="00085CA8" w:rsidRPr="004229C1">
              <w:rPr>
                <w:rFonts w:ascii="Times New Roman" w:hAnsi="Times New Roman" w:cs="Times New Roman"/>
                <w:kern w:val="0"/>
                <w:lang w:val="en-US"/>
              </w:rPr>
              <w:t>09</w:t>
            </w:r>
            <w:r w:rsidRPr="004229C1">
              <w:rPr>
                <w:rFonts w:ascii="Times New Roman" w:hAnsi="Times New Roman" w:cs="Times New Roman"/>
                <w:kern w:val="0"/>
                <w:lang w:val="uk-UA"/>
              </w:rPr>
              <w:t xml:space="preserve">.2024 по </w:t>
            </w:r>
            <w:r w:rsidR="00085CA8" w:rsidRPr="004229C1">
              <w:rPr>
                <w:rFonts w:ascii="Times New Roman" w:hAnsi="Times New Roman" w:cs="Times New Roman"/>
                <w:kern w:val="0"/>
                <w:lang w:val="en-US"/>
              </w:rPr>
              <w:t>29.05.</w:t>
            </w:r>
            <w:r w:rsidRPr="004229C1">
              <w:rPr>
                <w:rFonts w:ascii="Times New Roman" w:hAnsi="Times New Roman" w:cs="Times New Roman"/>
                <w:kern w:val="0"/>
                <w:lang w:val="uk-UA"/>
              </w:rPr>
              <w:t>2025</w:t>
            </w:r>
          </w:p>
        </w:tc>
      </w:tr>
      <w:tr w:rsidR="00867A34" w:rsidRPr="004229C1" w14:paraId="20463570" w14:textId="77777777">
        <w:trPr>
          <w:trHeight w:val="200"/>
        </w:trPr>
        <w:tc>
          <w:tcPr>
            <w:tcW w:w="700" w:type="dxa"/>
            <w:tcBorders>
              <w:top w:val="single" w:sz="6" w:space="0" w:color="auto"/>
              <w:bottom w:val="single" w:sz="6" w:space="0" w:color="auto"/>
              <w:right w:val="single" w:sz="6" w:space="0" w:color="auto"/>
            </w:tcBorders>
          </w:tcPr>
          <w:p w14:paraId="1A2F4327"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13</w:t>
            </w:r>
          </w:p>
        </w:tc>
        <w:tc>
          <w:tcPr>
            <w:tcW w:w="5300" w:type="dxa"/>
            <w:tcBorders>
              <w:top w:val="single" w:sz="6" w:space="0" w:color="auto"/>
              <w:left w:val="single" w:sz="6" w:space="0" w:color="auto"/>
              <w:bottom w:val="single" w:sz="6" w:space="0" w:color="auto"/>
              <w:right w:val="single" w:sz="6" w:space="0" w:color="auto"/>
            </w:tcBorders>
          </w:tcPr>
          <w:p w14:paraId="222FF5D4" w14:textId="0E56ED12"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Дата аудиторського звіту</w:t>
            </w:r>
          </w:p>
        </w:tc>
        <w:tc>
          <w:tcPr>
            <w:tcW w:w="4000" w:type="dxa"/>
            <w:tcBorders>
              <w:top w:val="single" w:sz="6" w:space="0" w:color="auto"/>
              <w:left w:val="single" w:sz="6" w:space="0" w:color="auto"/>
              <w:bottom w:val="single" w:sz="6" w:space="0" w:color="auto"/>
            </w:tcBorders>
          </w:tcPr>
          <w:p w14:paraId="24F68482" w14:textId="22F2383F" w:rsidR="00867A34" w:rsidRPr="004229C1" w:rsidRDefault="00085CA8"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en-US"/>
              </w:rPr>
              <w:t>29.05.</w:t>
            </w:r>
            <w:r w:rsidR="00867A34" w:rsidRPr="004229C1">
              <w:rPr>
                <w:rFonts w:ascii="Times New Roman" w:hAnsi="Times New Roman" w:cs="Times New Roman"/>
                <w:kern w:val="0"/>
                <w:lang w:val="uk-UA"/>
              </w:rPr>
              <w:t>2025</w:t>
            </w:r>
          </w:p>
        </w:tc>
      </w:tr>
      <w:tr w:rsidR="00867A34" w:rsidRPr="004229C1" w14:paraId="3B1F61E7" w14:textId="77777777">
        <w:trPr>
          <w:trHeight w:val="200"/>
        </w:trPr>
        <w:tc>
          <w:tcPr>
            <w:tcW w:w="700" w:type="dxa"/>
            <w:tcBorders>
              <w:top w:val="single" w:sz="6" w:space="0" w:color="auto"/>
              <w:bottom w:val="single" w:sz="6" w:space="0" w:color="auto"/>
              <w:right w:val="single" w:sz="6" w:space="0" w:color="auto"/>
            </w:tcBorders>
          </w:tcPr>
          <w:p w14:paraId="407CC4BB" w14:textId="77777777" w:rsidR="00867A34" w:rsidRPr="004229C1" w:rsidRDefault="00867A34" w:rsidP="00867A34">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kern w:val="0"/>
                <w:lang w:val="uk-UA"/>
              </w:rPr>
              <w:t>14</w:t>
            </w:r>
          </w:p>
        </w:tc>
        <w:tc>
          <w:tcPr>
            <w:tcW w:w="5300" w:type="dxa"/>
            <w:tcBorders>
              <w:top w:val="single" w:sz="6" w:space="0" w:color="auto"/>
              <w:left w:val="single" w:sz="6" w:space="0" w:color="auto"/>
              <w:bottom w:val="single" w:sz="6" w:space="0" w:color="auto"/>
              <w:right w:val="single" w:sz="6" w:space="0" w:color="auto"/>
            </w:tcBorders>
          </w:tcPr>
          <w:p w14:paraId="0D9418DF" w14:textId="3389426C"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000" w:type="dxa"/>
            <w:tcBorders>
              <w:top w:val="single" w:sz="6" w:space="0" w:color="auto"/>
              <w:left w:val="single" w:sz="6" w:space="0" w:color="auto"/>
              <w:bottom w:val="single" w:sz="6" w:space="0" w:color="auto"/>
            </w:tcBorders>
          </w:tcPr>
          <w:p w14:paraId="058ADBD0" w14:textId="4BE9FEAC" w:rsidR="00867A34" w:rsidRPr="004229C1" w:rsidRDefault="00867A34" w:rsidP="00867A34">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w:t>
            </w:r>
          </w:p>
        </w:tc>
      </w:tr>
    </w:tbl>
    <w:p w14:paraId="0E96B9DA" w14:textId="77777777" w:rsidR="00440915" w:rsidRPr="004229C1" w:rsidRDefault="00440915">
      <w:pPr>
        <w:widowControl w:val="0"/>
        <w:autoSpaceDE w:val="0"/>
        <w:autoSpaceDN w:val="0"/>
        <w:adjustRightInd w:val="0"/>
        <w:spacing w:after="0" w:line="240" w:lineRule="auto"/>
        <w:rPr>
          <w:rFonts w:ascii="Times New Roman" w:hAnsi="Times New Roman" w:cs="Times New Roman"/>
          <w:kern w:val="0"/>
          <w:lang w:val="uk-UA"/>
        </w:rPr>
      </w:pPr>
    </w:p>
    <w:p w14:paraId="3BE1FFF2" w14:textId="77777777" w:rsidR="00440915" w:rsidRPr="004229C1" w:rsidRDefault="00440915">
      <w:pPr>
        <w:widowControl w:val="0"/>
        <w:autoSpaceDE w:val="0"/>
        <w:autoSpaceDN w:val="0"/>
        <w:adjustRightInd w:val="0"/>
        <w:spacing w:after="0" w:line="240" w:lineRule="auto"/>
        <w:rPr>
          <w:rFonts w:ascii="Times New Roman" w:hAnsi="Times New Roman" w:cs="Times New Roman"/>
          <w:b/>
          <w:bCs/>
          <w:kern w:val="0"/>
          <w:lang w:val="uk-UA"/>
        </w:rPr>
      </w:pPr>
    </w:p>
    <w:p w14:paraId="78A6526F" w14:textId="77777777" w:rsidR="007469BF" w:rsidRPr="004229C1" w:rsidRDefault="000B08A7" w:rsidP="003E0FBC">
      <w:pPr>
        <w:rPr>
          <w:rFonts w:ascii="Times New Roman" w:hAnsi="Times New Roman" w:cs="Times New Roman"/>
          <w:b/>
          <w:bCs/>
          <w:kern w:val="0"/>
          <w:lang w:val="uk-UA"/>
        </w:rPr>
      </w:pPr>
      <w:r w:rsidRPr="004229C1">
        <w:rPr>
          <w:rFonts w:ascii="Times New Roman" w:hAnsi="Times New Roman" w:cs="Times New Roman"/>
          <w:b/>
          <w:bCs/>
          <w:kern w:val="0"/>
          <w:lang w:val="uk-UA"/>
        </w:rPr>
        <w:t>Аудиторський звіт до річної фінансової звітності:</w:t>
      </w:r>
    </w:p>
    <w:p w14:paraId="53BCCC85" w14:textId="77777777" w:rsidR="0084123A" w:rsidRPr="004229C1" w:rsidRDefault="0084123A">
      <w:pPr>
        <w:widowControl w:val="0"/>
        <w:autoSpaceDE w:val="0"/>
        <w:autoSpaceDN w:val="0"/>
        <w:adjustRightInd w:val="0"/>
        <w:spacing w:after="0" w:line="240" w:lineRule="auto"/>
        <w:rPr>
          <w:rFonts w:ascii="Times New Roman" w:hAnsi="Times New Roman" w:cs="Times New Roman"/>
          <w:b/>
          <w:bCs/>
          <w:kern w:val="0"/>
          <w:lang w:val="uk-UA"/>
        </w:rPr>
      </w:pPr>
    </w:p>
    <w:p w14:paraId="39C8889A"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lang w:val="uk-UA"/>
        </w:rPr>
      </w:pPr>
      <w:r w:rsidRPr="004229C1">
        <w:rPr>
          <w:rFonts w:ascii="Times New Roman" w:hAnsi="Times New Roman" w:cs="Times New Roman"/>
          <w:b/>
          <w:bCs/>
          <w:lang w:val="uk-UA"/>
        </w:rPr>
        <w:t>Звіт щодо аудиту фінансової звітності</w:t>
      </w:r>
    </w:p>
    <w:p w14:paraId="5D2D5110"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i/>
          <w:lang w:val="uk-UA"/>
        </w:rPr>
      </w:pPr>
      <w:r w:rsidRPr="004229C1">
        <w:rPr>
          <w:rFonts w:ascii="Times New Roman" w:hAnsi="Times New Roman" w:cs="Times New Roman"/>
          <w:b/>
          <w:bCs/>
          <w:i/>
          <w:lang w:val="uk-UA"/>
        </w:rPr>
        <w:t>Думка</w:t>
      </w:r>
    </w:p>
    <w:p w14:paraId="2E8BB9D7" w14:textId="77777777" w:rsidR="0037515F" w:rsidRPr="004229C1" w:rsidRDefault="0037515F" w:rsidP="0037515F">
      <w:pPr>
        <w:widowControl w:val="0"/>
        <w:overflowPunct w:val="0"/>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Ми провели аудит фінансової звітності Акціонерного Товариства «Правекс Банк» («Банк»), представленої на сторінках 1 - 95,</w:t>
      </w:r>
      <w:r w:rsidRPr="004229C1">
        <w:rPr>
          <w:rFonts w:ascii="Times New Roman" w:hAnsi="Times New Roman" w:cs="Times New Roman"/>
          <w:vertAlign w:val="superscript"/>
          <w:lang w:val="uk-UA"/>
        </w:rPr>
        <w:t xml:space="preserve"> </w:t>
      </w:r>
      <w:r w:rsidRPr="004229C1">
        <w:rPr>
          <w:rFonts w:ascii="Times New Roman" w:hAnsi="Times New Roman" w:cs="Times New Roman"/>
          <w:lang w:val="uk-UA"/>
        </w:rPr>
        <w:t xml:space="preserve">що складається зі звіту про фінансовий стан на 31 грудня 2024 року та звіту про прибуток або збиток, звіту про інший сукупний дохід, звіту про рух грошових коштів та звіту про зміни у власному капіталі за рік, що закінчився зазначеною датою, та приміток у </w:t>
      </w:r>
      <w:r w:rsidRPr="004229C1">
        <w:rPr>
          <w:rFonts w:ascii="Times New Roman" w:eastAsia="Arial" w:hAnsi="Times New Roman" w:cs="Times New Roman"/>
          <w:spacing w:val="-2"/>
          <w:lang w:val="uk-UA"/>
        </w:rPr>
        <w:t>фінансовій звітності</w:t>
      </w:r>
      <w:r w:rsidRPr="004229C1">
        <w:rPr>
          <w:rFonts w:ascii="Times New Roman" w:hAnsi="Times New Roman" w:cs="Times New Roman"/>
          <w:lang w:val="uk-UA"/>
        </w:rPr>
        <w:t>, включаючи суттєву інформацію про облікову політику.</w:t>
      </w:r>
    </w:p>
    <w:p w14:paraId="41653D94" w14:textId="77777777" w:rsidR="0037515F" w:rsidRPr="004229C1" w:rsidRDefault="0037515F" w:rsidP="0037515F">
      <w:pPr>
        <w:widowControl w:val="0"/>
        <w:overflowPunct w:val="0"/>
        <w:autoSpaceDE w:val="0"/>
        <w:autoSpaceDN w:val="0"/>
        <w:adjustRightInd w:val="0"/>
        <w:spacing w:after="240" w:line="240" w:lineRule="atLeast"/>
        <w:jc w:val="both"/>
        <w:rPr>
          <w:rFonts w:ascii="Times New Roman" w:eastAsia="Arial" w:hAnsi="Times New Roman" w:cs="Times New Roman"/>
          <w:spacing w:val="-2"/>
          <w:lang w:val="uk-UA"/>
        </w:rPr>
      </w:pPr>
      <w:r w:rsidRPr="004229C1">
        <w:rPr>
          <w:rFonts w:ascii="Times New Roman" w:eastAsia="Arial" w:hAnsi="Times New Roman" w:cs="Times New Roman"/>
          <w:spacing w:val="-2"/>
          <w:lang w:val="uk-UA"/>
        </w:rPr>
        <w:t>На нашу думку, фінансова звітність, що додається, відображає достовірно, в усіх суттєвих аспектах фінансовий стан Банку на 31 грудня 2024 року, та його фінансові результати і грошові потоки за рік, що закінчився зазначеною датою, відповідно до Міжнародних стандартів фінансової звітності («МСФЗ») та відповідає вимогам Закону України «Про бухгалтерський облік та фінансову звітність в Україні» № 996-XIV щодо складання фінансової звітності.</w:t>
      </w:r>
    </w:p>
    <w:p w14:paraId="63F833C0" w14:textId="77777777" w:rsidR="0037515F" w:rsidRPr="004229C1" w:rsidRDefault="0037515F" w:rsidP="0037515F">
      <w:pPr>
        <w:widowControl w:val="0"/>
        <w:autoSpaceDE w:val="0"/>
        <w:autoSpaceDN w:val="0"/>
        <w:adjustRightInd w:val="0"/>
        <w:spacing w:after="240" w:line="240" w:lineRule="atLeast"/>
        <w:jc w:val="both"/>
        <w:rPr>
          <w:rFonts w:ascii="Times New Roman" w:hAnsi="Times New Roman" w:cs="Times New Roman"/>
          <w:b/>
          <w:bCs/>
          <w:i/>
          <w:lang w:val="uk-UA"/>
        </w:rPr>
      </w:pPr>
      <w:r w:rsidRPr="004229C1">
        <w:rPr>
          <w:rFonts w:ascii="Times New Roman" w:hAnsi="Times New Roman" w:cs="Times New Roman"/>
          <w:b/>
          <w:bCs/>
          <w:i/>
          <w:lang w:val="uk-UA"/>
        </w:rPr>
        <w:t>Основа для думки</w:t>
      </w:r>
    </w:p>
    <w:p w14:paraId="43E6368D" w14:textId="77777777" w:rsidR="0037515F" w:rsidRPr="004229C1" w:rsidRDefault="0037515F" w:rsidP="0037515F">
      <w:pPr>
        <w:widowControl w:val="0"/>
        <w:autoSpaceDE w:val="0"/>
        <w:autoSpaceDN w:val="0"/>
        <w:adjustRightInd w:val="0"/>
        <w:spacing w:after="240" w:line="240" w:lineRule="atLeast"/>
        <w:jc w:val="both"/>
        <w:rPr>
          <w:rFonts w:ascii="Times New Roman" w:eastAsia="Arial" w:hAnsi="Times New Roman" w:cs="Times New Roman"/>
          <w:spacing w:val="-2"/>
          <w:lang w:val="uk-UA"/>
        </w:rPr>
      </w:pPr>
      <w:r w:rsidRPr="004229C1">
        <w:rPr>
          <w:rFonts w:ascii="Times New Roman" w:eastAsia="Arial" w:hAnsi="Times New Roman" w:cs="Times New Roman"/>
          <w:spacing w:val="-2"/>
          <w:lang w:val="uk-UA"/>
        </w:rPr>
        <w:t>Ми провели аудит відповідно до Міжнародних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Банку згідно з прийнятим Радою з міжнародних стандартів етики для бухгалтерів («РМСЕБ») Міжнародним кодексом етики професійних бухгалтерів (включаючи Міжнародні стандарти незалежності)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w:t>
      </w:r>
      <w:r w:rsidRPr="004229C1">
        <w:rPr>
          <w:rFonts w:ascii="Times New Roman" w:eastAsia="Arial" w:hAnsi="Times New Roman" w:cs="Times New Roman"/>
          <w:spacing w:val="-2"/>
          <w:w w:val="111"/>
          <w:lang w:val="uk-UA"/>
        </w:rPr>
        <w:t xml:space="preserve"> </w:t>
      </w:r>
      <w:r w:rsidRPr="004229C1">
        <w:rPr>
          <w:rFonts w:ascii="Times New Roman" w:eastAsia="Arial" w:hAnsi="Times New Roman" w:cs="Times New Roman"/>
          <w:spacing w:val="-2"/>
          <w:lang w:val="uk-UA"/>
        </w:rPr>
        <w:t>Ми вважаємо, що отримані нами аудиторські докази є достатніми і прийнятними для використання їх як основи для нашої думки.</w:t>
      </w:r>
    </w:p>
    <w:p w14:paraId="71C784FA"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i/>
          <w:lang w:val="uk-UA" w:eastAsia="ru-RU"/>
        </w:rPr>
      </w:pPr>
      <w:r w:rsidRPr="004229C1">
        <w:rPr>
          <w:rFonts w:ascii="Times New Roman" w:hAnsi="Times New Roman" w:cs="Times New Roman"/>
          <w:b/>
          <w:bCs/>
          <w:i/>
          <w:lang w:val="uk-UA" w:eastAsia="ru-RU"/>
        </w:rPr>
        <w:t>Суттєва невизначеність, що стосується безперервності діяльності</w:t>
      </w:r>
    </w:p>
    <w:p w14:paraId="0E456F26" w14:textId="77777777" w:rsidR="0037515F" w:rsidRPr="004229C1" w:rsidRDefault="0037515F" w:rsidP="0037515F">
      <w:pPr>
        <w:keepNext/>
        <w:autoSpaceDE w:val="0"/>
        <w:autoSpaceDN w:val="0"/>
        <w:adjustRightInd w:val="0"/>
        <w:spacing w:after="240" w:line="240" w:lineRule="atLeast"/>
        <w:jc w:val="both"/>
        <w:rPr>
          <w:rFonts w:ascii="Times New Roman" w:eastAsia="Arial" w:hAnsi="Times New Roman" w:cs="Times New Roman"/>
          <w:spacing w:val="-2"/>
          <w:lang w:val="uk-UA"/>
        </w:rPr>
      </w:pPr>
      <w:r w:rsidRPr="004229C1">
        <w:rPr>
          <w:rFonts w:ascii="Times New Roman" w:eastAsia="Arial" w:hAnsi="Times New Roman" w:cs="Times New Roman"/>
          <w:spacing w:val="-2"/>
          <w:lang w:val="uk-UA"/>
        </w:rPr>
        <w:t>Ми звертаємо увагу на Примітку 3 у фінансовій звітності, в якій зазначається, що воєнне вторгнення Російської Федерації в Україну вплинуло на діяльність Банку. Банк зазнав чистих збитків у сумі 198 218 тис. грн. за рік, що закінчився 31 грудня 2024 року. Як зазначено в Примітці 3, ці події або умови разом із іншими питаннями, викладеними в Примітці 3, вказують, що існує суттєва невизначеність, що може поставити під значний сумнів здатність Банку продовжувати свою діяльність на безперервній основі. Нашу думку не було модифіковано щодо цього питання.</w:t>
      </w:r>
    </w:p>
    <w:p w14:paraId="18C5AFE4"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Cs/>
          <w:i/>
          <w:lang w:val="uk-UA"/>
        </w:rPr>
      </w:pPr>
      <w:r w:rsidRPr="004229C1">
        <w:rPr>
          <w:rFonts w:ascii="Times New Roman" w:hAnsi="Times New Roman" w:cs="Times New Roman"/>
          <w:b/>
          <w:bCs/>
          <w:i/>
          <w:lang w:val="uk-UA"/>
        </w:rPr>
        <w:t>Ключові питання аудиту, що охоплюють найбільш значущі ризики суттєвих викривлень, включно з оціненими ризиками суттєвих викривлень внаслідок шахрайства</w:t>
      </w:r>
    </w:p>
    <w:p w14:paraId="72F9824F" w14:textId="77777777" w:rsidR="0037515F" w:rsidRPr="004229C1" w:rsidRDefault="0037515F" w:rsidP="0037515F">
      <w:pPr>
        <w:widowControl w:val="0"/>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Додатково до питання описаного в розділі «</w:t>
      </w:r>
      <w:r w:rsidRPr="004229C1">
        <w:rPr>
          <w:rFonts w:ascii="Times New Roman" w:hAnsi="Times New Roman" w:cs="Times New Roman"/>
          <w:i/>
          <w:iCs/>
          <w:lang w:val="uk-UA" w:eastAsia="ru-RU"/>
        </w:rPr>
        <w:t xml:space="preserve">Суттєва невизначеність, що стосується безперервності діяльності», </w:t>
      </w:r>
      <w:r w:rsidRPr="004229C1">
        <w:rPr>
          <w:rFonts w:ascii="Times New Roman" w:hAnsi="Times New Roman" w:cs="Times New Roman"/>
          <w:lang w:val="uk-UA" w:eastAsia="ru-RU"/>
        </w:rPr>
        <w:t>ми визначили,</w:t>
      </w:r>
      <w:r w:rsidRPr="004229C1">
        <w:rPr>
          <w:rFonts w:ascii="Times New Roman" w:hAnsi="Times New Roman" w:cs="Times New Roman"/>
          <w:i/>
          <w:iCs/>
          <w:lang w:val="uk-UA" w:eastAsia="ru-RU"/>
        </w:rPr>
        <w:t xml:space="preserve"> </w:t>
      </w:r>
      <w:r w:rsidRPr="004229C1">
        <w:rPr>
          <w:rFonts w:ascii="Times New Roman" w:hAnsi="Times New Roman" w:cs="Times New Roman"/>
          <w:lang w:val="uk-UA" w:eastAsia="ru-RU"/>
        </w:rPr>
        <w:t xml:space="preserve">що описане нижче питання є ключовим питанням аудиту, яке слід відобразити в нашому звіті. </w:t>
      </w:r>
      <w:r w:rsidRPr="004229C1">
        <w:rPr>
          <w:rFonts w:ascii="Times New Roman" w:hAnsi="Times New Roman" w:cs="Times New Roman"/>
          <w:lang w:val="uk-UA"/>
        </w:rPr>
        <w:t>Це питання розглядалось в контексті нашого аудиту фінансової звітності в цілому та враховувалось при формуванні думки щодо неї, при цьому ми не висловлюємо окремої думки щодо цього питання. Щодо питання, описаного нижче, наш опис того, як відповідне питання розглядалось під час нашого аудиту, наведено в цьому контексті.</w:t>
      </w:r>
    </w:p>
    <w:p w14:paraId="690911A6" w14:textId="77777777" w:rsidR="0037515F" w:rsidRPr="004229C1" w:rsidRDefault="0037515F" w:rsidP="0037515F">
      <w:pPr>
        <w:widowControl w:val="0"/>
        <w:autoSpaceDE w:val="0"/>
        <w:autoSpaceDN w:val="0"/>
        <w:adjustRightInd w:val="0"/>
        <w:spacing w:after="240" w:line="240" w:lineRule="atLeast"/>
        <w:jc w:val="both"/>
        <w:rPr>
          <w:rFonts w:ascii="Times New Roman" w:eastAsia="Arial" w:hAnsi="Times New Roman" w:cs="Times New Roman"/>
          <w:spacing w:val="-2"/>
          <w:lang w:val="uk-UA"/>
        </w:rPr>
      </w:pPr>
      <w:r w:rsidRPr="004229C1">
        <w:rPr>
          <w:rFonts w:ascii="Times New Roman" w:hAnsi="Times New Roman" w:cs="Times New Roman"/>
          <w:lang w:val="uk-UA"/>
        </w:rPr>
        <w:t xml:space="preserve">Ми виконали обов’язки, що описані в розділі </w:t>
      </w:r>
      <w:r w:rsidRPr="004229C1">
        <w:rPr>
          <w:rFonts w:ascii="Times New Roman" w:hAnsi="Times New Roman" w:cs="Times New Roman"/>
          <w:i/>
          <w:iCs/>
          <w:lang w:val="uk-UA"/>
        </w:rPr>
        <w:t>«</w:t>
      </w:r>
      <w:r w:rsidRPr="004229C1">
        <w:rPr>
          <w:rFonts w:ascii="Times New Roman" w:eastAsia="Arial" w:hAnsi="Times New Roman" w:cs="Times New Roman"/>
          <w:i/>
          <w:iCs/>
          <w:spacing w:val="-2"/>
          <w:lang w:val="uk-UA"/>
        </w:rPr>
        <w:t>Відповідальність аудитора за аудит фінансової звітності»</w:t>
      </w:r>
      <w:r w:rsidRPr="004229C1">
        <w:rPr>
          <w:rFonts w:ascii="Times New Roman" w:eastAsia="Arial" w:hAnsi="Times New Roman" w:cs="Times New Roman"/>
          <w:spacing w:val="-2"/>
          <w:lang w:val="uk-UA"/>
        </w:rPr>
        <w:t xml:space="preserve"> нашого звіту, в тому числі щодо цього питання. Відповідно, наш аудит включав виконання процедур, розроблених у відповідь на нашу оцінку ризиків суттєвого викривлення фінансової звітності. Результати наших аудиторських процедур, в тому числі процедур, що були виконані під час розгляду зазначеного нижче питання, служать основою </w:t>
      </w:r>
      <w:r w:rsidRPr="004229C1">
        <w:rPr>
          <w:rFonts w:ascii="Times New Roman" w:eastAsia="Arial" w:hAnsi="Times New Roman" w:cs="Times New Roman"/>
          <w:color w:val="000000" w:themeColor="text1"/>
          <w:spacing w:val="-2"/>
          <w:lang w:val="uk-UA"/>
        </w:rPr>
        <w:t>для висловлення нашої аудиторської думки щодо фінансової звітності, що додається.</w:t>
      </w:r>
      <w:r w:rsidRPr="004229C1">
        <w:rPr>
          <w:rFonts w:ascii="Times New Roman" w:hAnsi="Times New Roman" w:cs="Times New Roman"/>
          <w:color w:val="000000" w:themeColor="text1"/>
          <w:lang w:val="uk-UA"/>
        </w:rPr>
        <w:t xml:space="preserve"> </w:t>
      </w:r>
    </w:p>
    <w:tbl>
      <w:tblPr>
        <w:tblStyle w:val="ListTable4"/>
        <w:tblW w:w="9638" w:type="dxa"/>
        <w:tblInd w:w="-1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819"/>
        <w:gridCol w:w="4819"/>
      </w:tblGrid>
      <w:tr w:rsidR="0037515F" w:rsidRPr="004229C1" w14:paraId="4A359408" w14:textId="77777777" w:rsidTr="00FA3E0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819" w:type="dxa"/>
            <w:tcBorders>
              <w:top w:val="nil"/>
              <w:left w:val="nil"/>
              <w:bottom w:val="single" w:sz="4" w:space="0" w:color="auto"/>
              <w:right w:val="nil"/>
            </w:tcBorders>
            <w:shd w:val="clear" w:color="auto" w:fill="auto"/>
            <w:vAlign w:val="bottom"/>
            <w:hideMark/>
          </w:tcPr>
          <w:p w14:paraId="1BF6FE60" w14:textId="77777777" w:rsidR="0037515F" w:rsidRPr="004229C1" w:rsidRDefault="0037515F" w:rsidP="0037515F">
            <w:pPr>
              <w:widowControl w:val="0"/>
              <w:ind w:left="-98"/>
              <w:jc w:val="both"/>
              <w:rPr>
                <w:rFonts w:ascii="Times New Roman" w:hAnsi="Times New Roman" w:cs="Times New Roman"/>
                <w:bCs w:val="0"/>
                <w:color w:val="000000" w:themeColor="text1"/>
                <w:sz w:val="24"/>
                <w:szCs w:val="24"/>
                <w:lang w:val="uk-UA"/>
              </w:rPr>
            </w:pPr>
            <w:r w:rsidRPr="004229C1">
              <w:rPr>
                <w:rFonts w:ascii="Times New Roman" w:hAnsi="Times New Roman" w:cs="Times New Roman"/>
                <w:color w:val="000000" w:themeColor="text1"/>
                <w:sz w:val="24"/>
                <w:szCs w:val="24"/>
                <w:lang w:val="uk-UA"/>
              </w:rPr>
              <w:t>Ключове питання аудиту</w:t>
            </w:r>
          </w:p>
        </w:tc>
        <w:tc>
          <w:tcPr>
            <w:tcW w:w="4819" w:type="dxa"/>
            <w:tcBorders>
              <w:top w:val="nil"/>
              <w:left w:val="nil"/>
              <w:bottom w:val="single" w:sz="4" w:space="0" w:color="auto"/>
              <w:right w:val="nil"/>
            </w:tcBorders>
            <w:shd w:val="clear" w:color="auto" w:fill="auto"/>
            <w:vAlign w:val="bottom"/>
            <w:hideMark/>
          </w:tcPr>
          <w:p w14:paraId="6D896005" w14:textId="77777777" w:rsidR="0037515F" w:rsidRPr="004229C1" w:rsidRDefault="0037515F" w:rsidP="0037515F">
            <w:pPr>
              <w:widowControl w:val="0"/>
              <w:ind w:left="-98"/>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sz w:val="24"/>
                <w:szCs w:val="24"/>
                <w:lang w:val="uk-UA"/>
              </w:rPr>
            </w:pPr>
            <w:r w:rsidRPr="004229C1">
              <w:rPr>
                <w:rFonts w:ascii="Times New Roman" w:hAnsi="Times New Roman" w:cs="Times New Roman"/>
                <w:bCs w:val="0"/>
                <w:color w:val="000000" w:themeColor="text1"/>
                <w:sz w:val="24"/>
                <w:szCs w:val="24"/>
                <w:lang w:val="uk-UA"/>
              </w:rPr>
              <w:t>Як відповідне ключове питання було розглянуто під час нашого аудиту</w:t>
            </w:r>
          </w:p>
        </w:tc>
      </w:tr>
      <w:tr w:rsidR="0037515F" w:rsidRPr="004229C1" w14:paraId="41CE932A" w14:textId="77777777" w:rsidTr="00FA3E0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38" w:type="dxa"/>
            <w:gridSpan w:val="2"/>
            <w:tcBorders>
              <w:top w:val="single" w:sz="4" w:space="0" w:color="auto"/>
              <w:left w:val="nil"/>
              <w:bottom w:val="nil"/>
              <w:right w:val="nil"/>
            </w:tcBorders>
            <w:shd w:val="clear" w:color="auto" w:fill="auto"/>
            <w:hideMark/>
          </w:tcPr>
          <w:p w14:paraId="047CC642" w14:textId="77777777" w:rsidR="0037515F" w:rsidRPr="004229C1" w:rsidRDefault="0037515F" w:rsidP="0037515F">
            <w:pPr>
              <w:widowControl w:val="0"/>
              <w:spacing w:before="120"/>
              <w:ind w:left="-98"/>
              <w:jc w:val="both"/>
              <w:rPr>
                <w:rFonts w:ascii="Times New Roman" w:hAnsi="Times New Roman" w:cs="Times New Roman"/>
                <w:b w:val="0"/>
                <w:bCs w:val="0"/>
                <w:color w:val="000000" w:themeColor="text1"/>
                <w:sz w:val="24"/>
                <w:szCs w:val="24"/>
                <w:lang w:val="uk-UA"/>
              </w:rPr>
            </w:pPr>
            <w:r w:rsidRPr="004229C1">
              <w:rPr>
                <w:rFonts w:ascii="Times New Roman" w:hAnsi="Times New Roman" w:cs="Times New Roman"/>
                <w:color w:val="000000" w:themeColor="text1"/>
                <w:sz w:val="24"/>
                <w:szCs w:val="24"/>
                <w:lang w:val="uk-UA"/>
              </w:rPr>
              <w:t>Оцінка очікуваного кредитного збитку за кредитами та авансами клієнтам</w:t>
            </w:r>
          </w:p>
        </w:tc>
      </w:tr>
      <w:tr w:rsidR="0037515F" w:rsidRPr="004229C1" w14:paraId="4F51BBFF" w14:textId="77777777" w:rsidTr="00FA3E07">
        <w:trPr>
          <w:trHeight w:val="20"/>
        </w:trPr>
        <w:tc>
          <w:tcPr>
            <w:cnfStyle w:val="001000000000" w:firstRow="0" w:lastRow="0" w:firstColumn="1" w:lastColumn="0" w:oddVBand="0" w:evenVBand="0" w:oddHBand="0" w:evenHBand="0" w:firstRowFirstColumn="0" w:firstRowLastColumn="0" w:lastRowFirstColumn="0" w:lastRowLastColumn="0"/>
            <w:tcW w:w="4819" w:type="dxa"/>
            <w:hideMark/>
          </w:tcPr>
          <w:p w14:paraId="2CF08D26" w14:textId="77777777" w:rsidR="0037515F" w:rsidRPr="004229C1" w:rsidRDefault="0037515F" w:rsidP="0037515F">
            <w:pPr>
              <w:widowControl w:val="0"/>
              <w:spacing w:before="120"/>
              <w:ind w:left="-98"/>
              <w:jc w:val="both"/>
              <w:rPr>
                <w:rFonts w:ascii="Times New Roman" w:hAnsi="Times New Roman" w:cs="Times New Roman"/>
                <w:b w:val="0"/>
                <w:sz w:val="24"/>
                <w:szCs w:val="24"/>
                <w:lang w:val="uk-UA"/>
              </w:rPr>
            </w:pPr>
            <w:r w:rsidRPr="004229C1">
              <w:rPr>
                <w:rFonts w:ascii="Times New Roman" w:hAnsi="Times New Roman" w:cs="Times New Roman"/>
                <w:b w:val="0"/>
                <w:sz w:val="24"/>
                <w:szCs w:val="24"/>
                <w:lang w:val="uk-UA"/>
              </w:rPr>
              <w:t xml:space="preserve">Оцінка очікуваного кредитного збитку за МСФЗ 9 «Фінансові інструменти» є складним та, за своєю суттю, суб’єктивним процесом, що вимагає застосування суджень та припущень управлінського персоналу Банку. </w:t>
            </w:r>
          </w:p>
          <w:p w14:paraId="2363AAF2" w14:textId="77777777" w:rsidR="0037515F" w:rsidRPr="004229C1" w:rsidRDefault="0037515F" w:rsidP="0037515F">
            <w:pPr>
              <w:widowControl w:val="0"/>
              <w:spacing w:before="120"/>
              <w:ind w:left="-98"/>
              <w:jc w:val="both"/>
              <w:rPr>
                <w:rFonts w:ascii="Times New Roman" w:hAnsi="Times New Roman" w:cs="Times New Roman"/>
                <w:b w:val="0"/>
                <w:sz w:val="24"/>
                <w:szCs w:val="24"/>
                <w:lang w:val="uk-UA"/>
              </w:rPr>
            </w:pPr>
            <w:r w:rsidRPr="004229C1">
              <w:rPr>
                <w:rFonts w:ascii="Times New Roman" w:hAnsi="Times New Roman" w:cs="Times New Roman"/>
                <w:b w:val="0"/>
                <w:sz w:val="24"/>
                <w:szCs w:val="24"/>
                <w:lang w:val="uk-UA"/>
              </w:rPr>
              <w:t xml:space="preserve">Використання різних підходів та припущень щодо історичної та прогнозної макроекономічної інформації в оцінці таких показників як ймовірність дефолту, збиток у випадку дефолту та макроекономічних показників може призвести до суттєво різних оцінок очікуваного кредитного збитку за кредитами та авансами клієнтам. </w:t>
            </w:r>
          </w:p>
          <w:p w14:paraId="41A1CBF9" w14:textId="77777777" w:rsidR="0037515F" w:rsidRPr="004229C1" w:rsidRDefault="0037515F" w:rsidP="0037515F">
            <w:pPr>
              <w:widowControl w:val="0"/>
              <w:spacing w:before="120"/>
              <w:ind w:left="-98"/>
              <w:jc w:val="both"/>
              <w:rPr>
                <w:rFonts w:ascii="Times New Roman" w:hAnsi="Times New Roman" w:cs="Times New Roman"/>
                <w:b w:val="0"/>
                <w:sz w:val="24"/>
                <w:szCs w:val="24"/>
                <w:lang w:val="uk-UA"/>
              </w:rPr>
            </w:pPr>
            <w:r w:rsidRPr="004229C1">
              <w:rPr>
                <w:rFonts w:ascii="Times New Roman" w:hAnsi="Times New Roman" w:cs="Times New Roman"/>
                <w:b w:val="0"/>
                <w:sz w:val="24"/>
                <w:szCs w:val="24"/>
                <w:lang w:val="uk-UA"/>
              </w:rPr>
              <w:t>Крім того, балансова вартість кредитів та авансів клієнтам представляє собою значну частину загальних активів Банку і є суттєвою для фінансової звітності.</w:t>
            </w:r>
          </w:p>
          <w:p w14:paraId="771AE2ED" w14:textId="77777777" w:rsidR="0037515F" w:rsidRPr="004229C1" w:rsidRDefault="0037515F" w:rsidP="0037515F">
            <w:pPr>
              <w:widowControl w:val="0"/>
              <w:spacing w:before="120"/>
              <w:ind w:left="-98"/>
              <w:jc w:val="both"/>
              <w:rPr>
                <w:rFonts w:ascii="Times New Roman" w:hAnsi="Times New Roman" w:cs="Times New Roman"/>
                <w:bCs w:val="0"/>
                <w:sz w:val="24"/>
                <w:szCs w:val="24"/>
                <w:lang w:val="uk-UA"/>
              </w:rPr>
            </w:pPr>
          </w:p>
          <w:p w14:paraId="5D808546" w14:textId="77777777" w:rsidR="0037515F" w:rsidRPr="004229C1" w:rsidRDefault="0037515F" w:rsidP="0037515F">
            <w:pPr>
              <w:widowControl w:val="0"/>
              <w:spacing w:before="120"/>
              <w:ind w:left="-98"/>
              <w:jc w:val="both"/>
              <w:rPr>
                <w:rFonts w:ascii="Times New Roman" w:hAnsi="Times New Roman" w:cs="Times New Roman"/>
                <w:b w:val="0"/>
                <w:sz w:val="24"/>
                <w:szCs w:val="24"/>
                <w:lang w:val="uk-UA"/>
              </w:rPr>
            </w:pPr>
            <w:r w:rsidRPr="004229C1">
              <w:rPr>
                <w:rFonts w:ascii="Times New Roman" w:hAnsi="Times New Roman" w:cs="Times New Roman"/>
                <w:b w:val="0"/>
                <w:sz w:val="24"/>
                <w:szCs w:val="24"/>
                <w:lang w:val="uk-UA"/>
              </w:rPr>
              <w:t>Отже, оцінка розміру очікуваного кредитного збитку за кредитами та авансами клієнтам була ключовою сферою застосування професійного судження управлінського персоналу Банку.</w:t>
            </w:r>
          </w:p>
          <w:p w14:paraId="2685ACEB" w14:textId="77777777" w:rsidR="0037515F" w:rsidRPr="004229C1" w:rsidRDefault="0037515F" w:rsidP="0037515F">
            <w:pPr>
              <w:widowControl w:val="0"/>
              <w:spacing w:before="120"/>
              <w:ind w:left="-98"/>
              <w:jc w:val="both"/>
              <w:rPr>
                <w:rFonts w:ascii="Times New Roman" w:hAnsi="Times New Roman" w:cs="Times New Roman"/>
                <w:b w:val="0"/>
                <w:bCs w:val="0"/>
                <w:sz w:val="24"/>
                <w:szCs w:val="24"/>
                <w:lang w:val="uk-UA"/>
              </w:rPr>
            </w:pPr>
            <w:r w:rsidRPr="004229C1">
              <w:rPr>
                <w:rFonts w:ascii="Times New Roman" w:hAnsi="Times New Roman" w:cs="Times New Roman"/>
                <w:b w:val="0"/>
                <w:sz w:val="24"/>
                <w:szCs w:val="24"/>
                <w:lang w:val="uk-UA"/>
              </w:rPr>
              <w:t>Інформацію щодо очікуваного кредитного збитку та політик щодо управління ризиками розкрито в Примітках 4, 8 та 32 у фінансовій звітності.</w:t>
            </w:r>
          </w:p>
        </w:tc>
        <w:tc>
          <w:tcPr>
            <w:tcW w:w="4819" w:type="dxa"/>
            <w:hideMark/>
          </w:tcPr>
          <w:p w14:paraId="714768B8"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Наші аудиторські процедури включали оцінку методології, підходів та припущень, які використовував Банк щодо історичної та макроекономічної інформації в оцінці очікуваного кредитного збитку за кредитами та заборгованістю клієнтів.</w:t>
            </w:r>
          </w:p>
          <w:p w14:paraId="5B894145"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Ми отримали розуміння, оцінили розробку і протестували операційну</w:t>
            </w:r>
            <w:r w:rsidRPr="004229C1">
              <w:rPr>
                <w:rFonts w:ascii="Times New Roman" w:hAnsi="Times New Roman" w:cs="Times New Roman"/>
                <w:b/>
                <w:bCs/>
                <w:sz w:val="24"/>
                <w:szCs w:val="24"/>
                <w:lang w:val="uk-UA"/>
              </w:rPr>
              <w:t xml:space="preserve"> </w:t>
            </w:r>
            <w:r w:rsidRPr="004229C1">
              <w:rPr>
                <w:rFonts w:ascii="Times New Roman" w:hAnsi="Times New Roman" w:cs="Times New Roman"/>
                <w:sz w:val="24"/>
                <w:szCs w:val="24"/>
                <w:lang w:val="uk-UA"/>
              </w:rPr>
              <w:t xml:space="preserve">ефективність внутрішніх контролів Банку стосовно процесу оцінки очікуваного кредитного збитку. Ми ідентифікували та протестували контролі щодо розрахунків та вхідної інформації. </w:t>
            </w:r>
          </w:p>
          <w:p w14:paraId="3B99D998"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 xml:space="preserve">Ми протестували інформацію зібрану Банком та використану у визначенні припущень щодо розрахунку очікуваного кредитного збитку, a також таких показників як: </w:t>
            </w:r>
          </w:p>
          <w:p w14:paraId="183D7AC8"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p w14:paraId="099C06FA"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 xml:space="preserve">ймовірність дефолту, збиток у випадку </w:t>
            </w:r>
          </w:p>
          <w:p w14:paraId="41C460C3" w14:textId="77777777" w:rsidR="0037515F" w:rsidRPr="004229C1" w:rsidRDefault="0037515F" w:rsidP="0037515F">
            <w:pPr>
              <w:widowControl w:val="0"/>
              <w:ind w:left="-101"/>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 xml:space="preserve">дефолту, відновлення, прогнозні та макроекономічні показники, що безпосередньо впливають на розмір очікуваного кредитного збитку за кредитами та авансами клієнтам. </w:t>
            </w:r>
          </w:p>
          <w:p w14:paraId="25C0FEAB" w14:textId="77777777" w:rsidR="0037515F" w:rsidRPr="004229C1" w:rsidRDefault="0037515F" w:rsidP="0037515F">
            <w:pPr>
              <w:widowControl w:val="0"/>
              <w:spacing w:before="120"/>
              <w:ind w:left="-9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4229C1">
              <w:rPr>
                <w:rFonts w:ascii="Times New Roman" w:hAnsi="Times New Roman" w:cs="Times New Roman"/>
                <w:sz w:val="24"/>
                <w:szCs w:val="24"/>
                <w:lang w:val="uk-UA"/>
              </w:rPr>
              <w:t>Також, ми проаналізували інформацію Банку щодо очікуваного кредитного збитку за кредитами та авансами клієнтам, що розкрито у примітках до фінансової звітності.</w:t>
            </w:r>
          </w:p>
          <w:p w14:paraId="77F6BA30" w14:textId="77777777" w:rsidR="0037515F" w:rsidRPr="004229C1" w:rsidRDefault="0037515F" w:rsidP="0037515F">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uk-UA"/>
              </w:rPr>
            </w:pPr>
          </w:p>
        </w:tc>
      </w:tr>
    </w:tbl>
    <w:p w14:paraId="0DA60985"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b/>
          <w:bCs/>
          <w:i/>
          <w:lang w:val="uk-UA"/>
        </w:rPr>
        <w:t xml:space="preserve">Інша інформація, що включена до Звіту </w:t>
      </w:r>
      <w:bookmarkStart w:id="18" w:name="_Hlk198809174"/>
      <w:r w:rsidRPr="004229C1">
        <w:rPr>
          <w:rFonts w:ascii="Times New Roman" w:hAnsi="Times New Roman" w:cs="Times New Roman"/>
          <w:b/>
          <w:bCs/>
          <w:i/>
          <w:lang w:val="uk-UA"/>
        </w:rPr>
        <w:t>керівництва</w:t>
      </w:r>
      <w:bookmarkEnd w:id="18"/>
      <w:r w:rsidRPr="004229C1">
        <w:rPr>
          <w:rFonts w:ascii="Times New Roman" w:hAnsi="Times New Roman" w:cs="Times New Roman"/>
          <w:b/>
          <w:bCs/>
          <w:i/>
          <w:lang w:val="uk-UA"/>
        </w:rPr>
        <w:t xml:space="preserve"> та Річної інформації емітента цінних паперів за 2024 рік</w:t>
      </w:r>
    </w:p>
    <w:p w14:paraId="35C7EBAA" w14:textId="77777777" w:rsidR="0037515F" w:rsidRPr="004229C1" w:rsidRDefault="0037515F" w:rsidP="0037515F">
      <w:pPr>
        <w:spacing w:after="240" w:line="240" w:lineRule="atLeast"/>
        <w:jc w:val="both"/>
        <w:rPr>
          <w:rFonts w:ascii="Times New Roman" w:hAnsi="Times New Roman" w:cs="Times New Roman"/>
          <w:lang w:val="uk-UA"/>
        </w:rPr>
      </w:pPr>
      <w:r w:rsidRPr="004229C1">
        <w:rPr>
          <w:rFonts w:ascii="Times New Roman" w:hAnsi="Times New Roman" w:cs="Times New Roman"/>
          <w:lang w:val="uk-UA"/>
        </w:rPr>
        <w:t>Інша інформація складається зі Звіту керівництва (що включає Звіт про корпоративне управління), але не включає фінансову звітність та наш звіт аудитора щодо неї, який ми отримали до дати цього звіту аудитора, та Річну інформацію емітента цінних паперів, яку ми очікуємо отримати після цієї дати. Управлінський персонал несе відповідальність за іншу інформацію.</w:t>
      </w:r>
    </w:p>
    <w:p w14:paraId="51A8A303" w14:textId="77777777" w:rsidR="0037515F" w:rsidRPr="004229C1" w:rsidRDefault="0037515F" w:rsidP="0037515F">
      <w:pPr>
        <w:spacing w:after="240" w:line="240" w:lineRule="atLeast"/>
        <w:jc w:val="both"/>
        <w:rPr>
          <w:rFonts w:ascii="Times New Roman" w:hAnsi="Times New Roman" w:cs="Times New Roman"/>
          <w:lang w:val="uk-UA"/>
        </w:rPr>
      </w:pPr>
      <w:r w:rsidRPr="004229C1">
        <w:rPr>
          <w:rFonts w:ascii="Times New Roman" w:hAnsi="Times New Roman" w:cs="Times New Roman"/>
          <w:lang w:val="uk-UA"/>
        </w:rPr>
        <w:t>Наша думка щодо фінансової звітності не поширюється на іншу інформацію та ми не робимо висновок та не будемо робити висновок з будь-яким рівнем впевненості щодо цієї іншої інформації.</w:t>
      </w:r>
    </w:p>
    <w:p w14:paraId="4D828427"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та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іншої інформації отриманої до дати цього звіту аудитора, ми зобов’язані повідомити про цей факт. Ми не виявили таких фактів, які б необхідно було включити до звіту.</w:t>
      </w:r>
    </w:p>
    <w:p w14:paraId="2314B2BF"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Коли ми ознайомимося з Річною інформацією емітента цінних паперів, якщо ми дійдемо висновку, що вона містить суттєве викривлення, ми повідомимо про це питання Наглядову Раду Банку.</w:t>
      </w:r>
    </w:p>
    <w:p w14:paraId="6C1A1669"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i/>
          <w:lang w:val="uk-UA"/>
        </w:rPr>
      </w:pPr>
      <w:r w:rsidRPr="004229C1">
        <w:rPr>
          <w:rFonts w:ascii="Times New Roman" w:hAnsi="Times New Roman" w:cs="Times New Roman"/>
          <w:b/>
          <w:bCs/>
          <w:i/>
          <w:lang w:val="uk-UA"/>
        </w:rPr>
        <w:t>Відповідальність управлінського персоналу та Наглядової Ради за фінансову звітність</w:t>
      </w:r>
    </w:p>
    <w:p w14:paraId="3FDAAFDB"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lang w:val="uk-UA"/>
        </w:rPr>
      </w:pPr>
      <w:r w:rsidRPr="004229C1">
        <w:rPr>
          <w:rFonts w:ascii="Times New Roman" w:hAnsi="Times New Roman" w:cs="Times New Roman"/>
          <w:bCs/>
          <w:lang w:val="uk-UA"/>
        </w:rPr>
        <w:t>Управлінський персонал несе відповідальність за складання і достовірне подання фінансової звітності відповідно до МСФЗ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14:paraId="43994C2F" w14:textId="77777777" w:rsidR="0037515F" w:rsidRPr="004229C1" w:rsidRDefault="0037515F" w:rsidP="0037515F">
      <w:pPr>
        <w:widowControl w:val="0"/>
        <w:overflowPunct w:val="0"/>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 xml:space="preserve">При складанні </w:t>
      </w:r>
      <w:r w:rsidRPr="004229C1">
        <w:rPr>
          <w:rFonts w:ascii="Times New Roman" w:eastAsia="Arial" w:hAnsi="Times New Roman" w:cs="Times New Roman"/>
          <w:spacing w:val="-2"/>
          <w:lang w:val="uk-UA"/>
        </w:rPr>
        <w:t>фінансової звітності</w:t>
      </w:r>
      <w:r w:rsidRPr="004229C1">
        <w:rPr>
          <w:rFonts w:ascii="Times New Roman" w:hAnsi="Times New Roman" w:cs="Times New Roman"/>
          <w:lang w:val="uk-UA"/>
        </w:rPr>
        <w:t xml:space="preserve"> управлінський персонал несе відповідальність за оцінку здатності Банку продовжувати свою діяльність на безперервній основі, розкриваючи, де це </w:t>
      </w:r>
      <w:proofErr w:type="spellStart"/>
      <w:r w:rsidRPr="004229C1">
        <w:rPr>
          <w:rFonts w:ascii="Times New Roman" w:hAnsi="Times New Roman" w:cs="Times New Roman"/>
          <w:lang w:val="uk-UA"/>
        </w:rPr>
        <w:t>застосовно</w:t>
      </w:r>
      <w:proofErr w:type="spellEnd"/>
      <w:r w:rsidRPr="004229C1">
        <w:rPr>
          <w:rFonts w:ascii="Times New Roman" w:hAnsi="Times New Roman" w:cs="Times New Roman"/>
          <w:lang w:val="uk-UA"/>
        </w:rPr>
        <w:t xml:space="preserve">, питання, що стосуються безперервності діяльності, та використовуючи </w:t>
      </w:r>
      <w:r w:rsidRPr="004229C1">
        <w:rPr>
          <w:rFonts w:ascii="Times New Roman" w:eastAsia="Arial" w:hAnsi="Times New Roman" w:cs="Times New Roman"/>
          <w:spacing w:val="-2"/>
          <w:lang w:val="uk-UA"/>
        </w:rPr>
        <w:t>припущення про безперервність діяльності як основи для бухгалтерського обліку, окрім випадків, коли управлінський персонал або планує ліквідувати Банк чи припинити діяльність, або не має інших реальних альтернатив цьому</w:t>
      </w:r>
      <w:r w:rsidRPr="004229C1">
        <w:rPr>
          <w:rFonts w:ascii="Times New Roman" w:hAnsi="Times New Roman" w:cs="Times New Roman"/>
          <w:lang w:val="uk-UA"/>
        </w:rPr>
        <w:t>.</w:t>
      </w:r>
    </w:p>
    <w:p w14:paraId="6B0C88EE" w14:textId="77777777" w:rsidR="0037515F" w:rsidRPr="004229C1" w:rsidRDefault="0037515F" w:rsidP="0037515F">
      <w:pPr>
        <w:widowControl w:val="0"/>
        <w:overflowPunct w:val="0"/>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Наглядова Рада несе відповідальність за нагляд за процесом фінансового звітування Банку.</w:t>
      </w:r>
    </w:p>
    <w:p w14:paraId="5AEDF4D7"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i/>
          <w:lang w:val="uk-UA"/>
        </w:rPr>
      </w:pPr>
      <w:r w:rsidRPr="004229C1">
        <w:rPr>
          <w:rFonts w:ascii="Times New Roman" w:hAnsi="Times New Roman" w:cs="Times New Roman"/>
          <w:b/>
          <w:bCs/>
          <w:i/>
          <w:lang w:val="uk-UA"/>
        </w:rPr>
        <w:t>Відповідальність аудитора за аудит фінансової звітності</w:t>
      </w:r>
    </w:p>
    <w:p w14:paraId="75D6C8F9" w14:textId="77777777" w:rsidR="0037515F" w:rsidRPr="004229C1" w:rsidRDefault="0037515F" w:rsidP="0037515F">
      <w:pPr>
        <w:spacing w:after="240" w:line="240" w:lineRule="atLeast"/>
        <w:jc w:val="both"/>
        <w:rPr>
          <w:rFonts w:ascii="Times New Roman" w:eastAsia="Arial" w:hAnsi="Times New Roman" w:cs="Times New Roman"/>
          <w:spacing w:val="-2"/>
          <w:lang w:val="uk-UA"/>
        </w:rPr>
      </w:pPr>
      <w:r w:rsidRPr="004229C1">
        <w:rPr>
          <w:rFonts w:ascii="Times New Roman" w:eastAsia="Arial" w:hAnsi="Times New Roman" w:cs="Times New Roman"/>
          <w:spacing w:val="-2"/>
          <w:lang w:val="uk-UA"/>
        </w:rPr>
        <w:t>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w:t>
      </w:r>
      <w:r w:rsidRPr="004229C1">
        <w:rPr>
          <w:rFonts w:ascii="Times New Roman" w:eastAsia="Arial" w:hAnsi="Times New Roman" w:cs="Times New Roman"/>
          <w:lang w:val="uk-UA"/>
        </w:rPr>
        <w:t>, та випуск звіту аудитора, що містить нашу думку</w:t>
      </w:r>
      <w:r w:rsidRPr="004229C1">
        <w:rPr>
          <w:rFonts w:ascii="Times New Roman" w:eastAsia="Arial" w:hAnsi="Times New Roman" w:cs="Times New Roman"/>
          <w:w w:val="109"/>
          <w:lang w:val="uk-UA"/>
        </w:rPr>
        <w:t>.</w:t>
      </w:r>
      <w:r w:rsidRPr="004229C1">
        <w:rPr>
          <w:rFonts w:ascii="Times New Roman" w:eastAsia="Arial" w:hAnsi="Times New Roman" w:cs="Times New Roman"/>
          <w:spacing w:val="23"/>
          <w:w w:val="109"/>
          <w:lang w:val="uk-UA"/>
        </w:rPr>
        <w:t xml:space="preserve"> </w:t>
      </w:r>
      <w:r w:rsidRPr="004229C1">
        <w:rPr>
          <w:rFonts w:ascii="Times New Roman" w:eastAsia="Arial" w:hAnsi="Times New Roman" w:cs="Times New Roman"/>
          <w:spacing w:val="-2"/>
          <w:lang w:val="uk-UA"/>
        </w:rPr>
        <w:t>Обґрунтована впевненість є високим рівнем впевненості, проте не гарантує, що аудит, проведений відповідно до МСА, завжди виявить суттєве викривлення, коли воно існує</w:t>
      </w:r>
      <w:r w:rsidRPr="004229C1">
        <w:rPr>
          <w:rFonts w:ascii="Times New Roman" w:eastAsia="Arial" w:hAnsi="Times New Roman" w:cs="Times New Roman"/>
          <w:lang w:val="uk-UA"/>
        </w:rPr>
        <w:t>.</w:t>
      </w:r>
      <w:r w:rsidRPr="004229C1">
        <w:rPr>
          <w:rFonts w:ascii="Times New Roman" w:eastAsia="Arial" w:hAnsi="Times New Roman" w:cs="Times New Roman"/>
          <w:spacing w:val="43"/>
          <w:lang w:val="uk-UA"/>
        </w:rPr>
        <w:t xml:space="preserve"> </w:t>
      </w:r>
      <w:r w:rsidRPr="004229C1">
        <w:rPr>
          <w:rFonts w:ascii="Times New Roman" w:eastAsia="Arial" w:hAnsi="Times New Roman" w:cs="Times New Roman"/>
          <w:spacing w:val="-2"/>
          <w:lang w:val="uk-UA"/>
        </w:rPr>
        <w:t xml:space="preserve">Викривлення можуть бути результатом шахрайства або помилки; вони вважаються суттєвими, якщо </w:t>
      </w:r>
      <w:r w:rsidRPr="004229C1">
        <w:rPr>
          <w:rFonts w:ascii="Times New Roman" w:hAnsi="Times New Roman" w:cs="Times New Roman"/>
          <w:lang w:val="uk-UA"/>
        </w:rPr>
        <w:t>окремо або в сукупності</w:t>
      </w:r>
      <w:r w:rsidRPr="004229C1">
        <w:rPr>
          <w:rFonts w:ascii="Times New Roman" w:eastAsia="Arial" w:hAnsi="Times New Roman" w:cs="Times New Roman"/>
          <w:spacing w:val="-2"/>
          <w:lang w:val="uk-UA"/>
        </w:rPr>
        <w:t>, як обґрунтовано очікується, вони можуть впливати на економічні рішення користувачів, що приймаються на основі цієї фінансової звітності.</w:t>
      </w:r>
    </w:p>
    <w:p w14:paraId="4BE8F5BD"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lang w:val="uk-UA"/>
        </w:rPr>
      </w:pPr>
      <w:r w:rsidRPr="004229C1">
        <w:rPr>
          <w:rFonts w:ascii="Times New Roman" w:hAnsi="Times New Roman" w:cs="Times New Roman"/>
          <w:bCs/>
          <w:lang w:val="uk-UA"/>
        </w:rPr>
        <w:t xml:space="preserve">Виконуючи аудит відповідно до вимог МСА, ми використовуємо професійне судження та професійний скептицизм </w:t>
      </w:r>
      <w:r w:rsidRPr="004229C1">
        <w:rPr>
          <w:rFonts w:ascii="Times New Roman" w:eastAsia="Arial" w:hAnsi="Times New Roman" w:cs="Times New Roman"/>
          <w:spacing w:val="-2"/>
          <w:lang w:val="uk-UA"/>
        </w:rPr>
        <w:t>п</w:t>
      </w:r>
      <w:r w:rsidRPr="004229C1">
        <w:rPr>
          <w:rFonts w:ascii="Times New Roman" w:hAnsi="Times New Roman" w:cs="Times New Roman"/>
          <w:bCs/>
          <w:lang w:val="uk-UA"/>
        </w:rPr>
        <w:t>ротягом всього завдання з аудиту. Окрім того, ми:</w:t>
      </w:r>
    </w:p>
    <w:p w14:paraId="4328221C" w14:textId="77777777" w:rsidR="0037515F" w:rsidRPr="004229C1" w:rsidRDefault="0037515F" w:rsidP="0037515F">
      <w:pPr>
        <w:numPr>
          <w:ilvl w:val="0"/>
          <w:numId w:val="7"/>
        </w:numPr>
        <w:autoSpaceDE w:val="0"/>
        <w:autoSpaceDN w:val="0"/>
        <w:adjustRightInd w:val="0"/>
        <w:spacing w:after="240" w:line="240" w:lineRule="atLeast"/>
        <w:ind w:left="284" w:hanging="284"/>
        <w:jc w:val="both"/>
        <w:rPr>
          <w:rFonts w:ascii="Times New Roman" w:hAnsi="Times New Roman" w:cs="Times New Roman"/>
          <w:lang w:val="uk-UA"/>
        </w:rPr>
      </w:pPr>
      <w:r w:rsidRPr="004229C1">
        <w:rPr>
          <w:rFonts w:ascii="Times New Roman" w:hAnsi="Times New Roman" w:cs="Times New Roman"/>
          <w:lang w:val="uk-UA"/>
        </w:rPr>
        <w:t xml:space="preserve">ідентифікуємо та оцінюємо ризики суттєвого викривлення фінансової звітності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w:t>
      </w:r>
      <w:proofErr w:type="spellStart"/>
      <w:r w:rsidRPr="004229C1">
        <w:rPr>
          <w:rFonts w:ascii="Times New Roman" w:hAnsi="Times New Roman" w:cs="Times New Roman"/>
          <w:lang w:val="uk-UA"/>
        </w:rPr>
        <w:t>невиявлення</w:t>
      </w:r>
      <w:proofErr w:type="spellEnd"/>
      <w:r w:rsidRPr="004229C1">
        <w:rPr>
          <w:rFonts w:ascii="Times New Roman" w:hAnsi="Times New Roman" w:cs="Times New Roman"/>
          <w:lang w:val="uk-UA"/>
        </w:rPr>
        <w:t xml:space="preserve">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14:paraId="75B16CD4" w14:textId="77777777" w:rsidR="0037515F" w:rsidRPr="004229C1" w:rsidRDefault="0037515F" w:rsidP="0037515F">
      <w:pPr>
        <w:numPr>
          <w:ilvl w:val="0"/>
          <w:numId w:val="7"/>
        </w:numPr>
        <w:autoSpaceDE w:val="0"/>
        <w:autoSpaceDN w:val="0"/>
        <w:adjustRightInd w:val="0"/>
        <w:spacing w:after="240" w:line="240" w:lineRule="atLeast"/>
        <w:ind w:left="284" w:hanging="284"/>
        <w:jc w:val="both"/>
        <w:rPr>
          <w:rFonts w:ascii="Times New Roman" w:hAnsi="Times New Roman" w:cs="Times New Roman"/>
          <w:lang w:val="uk-UA"/>
        </w:rPr>
      </w:pPr>
      <w:r w:rsidRPr="004229C1">
        <w:rPr>
          <w:rFonts w:ascii="Times New Roman" w:hAnsi="Times New Roman" w:cs="Times New Roman"/>
          <w:lang w:val="uk-UA"/>
        </w:rPr>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Банку;</w:t>
      </w:r>
    </w:p>
    <w:p w14:paraId="32A8E6FF" w14:textId="77777777" w:rsidR="0037515F" w:rsidRPr="004229C1" w:rsidRDefault="0037515F" w:rsidP="0037515F">
      <w:pPr>
        <w:numPr>
          <w:ilvl w:val="0"/>
          <w:numId w:val="7"/>
        </w:numPr>
        <w:autoSpaceDE w:val="0"/>
        <w:autoSpaceDN w:val="0"/>
        <w:adjustRightInd w:val="0"/>
        <w:spacing w:after="240" w:line="240" w:lineRule="atLeast"/>
        <w:ind w:left="284" w:hanging="284"/>
        <w:jc w:val="both"/>
        <w:rPr>
          <w:rFonts w:ascii="Times New Roman" w:hAnsi="Times New Roman" w:cs="Times New Roman"/>
          <w:lang w:val="uk-UA"/>
        </w:rPr>
      </w:pPr>
      <w:r w:rsidRPr="004229C1">
        <w:rPr>
          <w:rFonts w:ascii="Times New Roman" w:hAnsi="Times New Roman" w:cs="Times New Roman"/>
          <w:lang w:val="uk-UA"/>
        </w:rPr>
        <w:t xml:space="preserve">оцінюємо прийнятність застосованих облікових політик та обґрунтованість облікових оцінок і відповідних </w:t>
      </w:r>
      <w:proofErr w:type="spellStart"/>
      <w:r w:rsidRPr="004229C1">
        <w:rPr>
          <w:rFonts w:ascii="Times New Roman" w:hAnsi="Times New Roman" w:cs="Times New Roman"/>
          <w:lang w:val="uk-UA"/>
        </w:rPr>
        <w:t>розкриттів</w:t>
      </w:r>
      <w:proofErr w:type="spellEnd"/>
      <w:r w:rsidRPr="004229C1">
        <w:rPr>
          <w:rFonts w:ascii="Times New Roman" w:hAnsi="Times New Roman" w:cs="Times New Roman"/>
          <w:lang w:val="uk-UA"/>
        </w:rPr>
        <w:t xml:space="preserve"> інформації, зроблених управлінським персоналом;</w:t>
      </w:r>
    </w:p>
    <w:p w14:paraId="14B2805C" w14:textId="77777777" w:rsidR="0037515F" w:rsidRPr="004229C1" w:rsidRDefault="0037515F" w:rsidP="0037515F">
      <w:pPr>
        <w:numPr>
          <w:ilvl w:val="0"/>
          <w:numId w:val="7"/>
        </w:numPr>
        <w:autoSpaceDE w:val="0"/>
        <w:autoSpaceDN w:val="0"/>
        <w:adjustRightInd w:val="0"/>
        <w:spacing w:after="240" w:line="240" w:lineRule="atLeast"/>
        <w:ind w:left="284" w:hanging="284"/>
        <w:jc w:val="both"/>
        <w:rPr>
          <w:rFonts w:ascii="Times New Roman" w:hAnsi="Times New Roman" w:cs="Times New Roman"/>
          <w:lang w:val="uk-UA"/>
        </w:rPr>
      </w:pPr>
      <w:r w:rsidRPr="004229C1">
        <w:rPr>
          <w:rFonts w:ascii="Times New Roman" w:hAnsi="Times New Roman" w:cs="Times New Roman"/>
          <w:lang w:val="uk-UA"/>
        </w:rPr>
        <w:t xml:space="preserve">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доходимо висновку, чи існує суттєва невизначеність щодо подій або умов, що може поставити під значний сумнів здатність Банку продовжувати свою діяльність на безперервній основі. Якщо ми доходимо висновку щодо існування такої суттєвої невизначеності, ми повинні привернути увагу в нашому звіті аудитора до відповідних </w:t>
      </w:r>
      <w:proofErr w:type="spellStart"/>
      <w:r w:rsidRPr="004229C1">
        <w:rPr>
          <w:rFonts w:ascii="Times New Roman" w:hAnsi="Times New Roman" w:cs="Times New Roman"/>
          <w:lang w:val="uk-UA"/>
        </w:rPr>
        <w:t>розкриттів</w:t>
      </w:r>
      <w:proofErr w:type="spellEnd"/>
      <w:r w:rsidRPr="004229C1">
        <w:rPr>
          <w:rFonts w:ascii="Times New Roman" w:hAnsi="Times New Roman" w:cs="Times New Roman"/>
          <w:lang w:val="uk-UA"/>
        </w:rPr>
        <w:t xml:space="preserve"> інформації у фінансовій звітності або, якщо такі розкриття інформації є неналежними, модифікувати свою думку. </w:t>
      </w:r>
    </w:p>
    <w:p w14:paraId="1EF2F3FC" w14:textId="77777777" w:rsidR="0037515F" w:rsidRPr="004229C1" w:rsidRDefault="0037515F" w:rsidP="0037515F">
      <w:pPr>
        <w:autoSpaceDE w:val="0"/>
        <w:autoSpaceDN w:val="0"/>
        <w:adjustRightInd w:val="0"/>
        <w:spacing w:after="240" w:line="240" w:lineRule="atLeast"/>
        <w:ind w:left="284"/>
        <w:jc w:val="both"/>
        <w:rPr>
          <w:rFonts w:ascii="Times New Roman" w:hAnsi="Times New Roman" w:cs="Times New Roman"/>
          <w:lang w:val="uk-UA"/>
        </w:rPr>
      </w:pPr>
      <w:r w:rsidRPr="004229C1">
        <w:rPr>
          <w:rFonts w:ascii="Times New Roman" w:hAnsi="Times New Roman" w:cs="Times New Roman"/>
          <w:lang w:val="uk-UA"/>
        </w:rPr>
        <w:t>Наші висновки ґрунтуються на аудиторських доказах, отриманих до дати нашого звіту аудитора. Тим не менш, майбутні події або умови можуть примусити Банк припинити свою діяльність на безперервній основі;</w:t>
      </w:r>
    </w:p>
    <w:p w14:paraId="6986C49D" w14:textId="77777777" w:rsidR="0037515F" w:rsidRPr="004229C1" w:rsidRDefault="0037515F" w:rsidP="0037515F">
      <w:pPr>
        <w:numPr>
          <w:ilvl w:val="0"/>
          <w:numId w:val="7"/>
        </w:numPr>
        <w:autoSpaceDE w:val="0"/>
        <w:autoSpaceDN w:val="0"/>
        <w:adjustRightInd w:val="0"/>
        <w:spacing w:after="240" w:line="240" w:lineRule="atLeast"/>
        <w:ind w:left="284" w:hanging="284"/>
        <w:jc w:val="both"/>
        <w:rPr>
          <w:rFonts w:ascii="Times New Roman" w:hAnsi="Times New Roman" w:cs="Times New Roman"/>
          <w:lang w:val="uk-UA"/>
        </w:rPr>
      </w:pPr>
      <w:r w:rsidRPr="004229C1">
        <w:rPr>
          <w:rFonts w:ascii="Times New Roman" w:hAnsi="Times New Roman" w:cs="Times New Roman"/>
          <w:lang w:val="uk-UA"/>
        </w:rPr>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лежать в основі її складання, так, щоб досягти достовірного подання.</w:t>
      </w:r>
    </w:p>
    <w:p w14:paraId="7231B278"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lang w:val="uk-UA"/>
        </w:rPr>
      </w:pPr>
      <w:r w:rsidRPr="004229C1">
        <w:rPr>
          <w:rFonts w:ascii="Times New Roman" w:hAnsi="Times New Roman" w:cs="Times New Roman"/>
          <w:bCs/>
          <w:lang w:val="uk-UA"/>
        </w:rPr>
        <w:t xml:space="preserve">Ми повідомляємо Наглядовій Раді та Аудиторському комітету </w:t>
      </w:r>
      <w:r w:rsidRPr="004229C1">
        <w:rPr>
          <w:rFonts w:ascii="Times New Roman" w:eastAsia="MS Mincho" w:hAnsi="Times New Roman" w:cs="Times New Roman"/>
          <w:lang w:val="uk-UA"/>
        </w:rPr>
        <w:t xml:space="preserve">разом з іншими питаннями </w:t>
      </w:r>
      <w:r w:rsidRPr="004229C1">
        <w:rPr>
          <w:rFonts w:ascii="Times New Roman" w:hAnsi="Times New Roman" w:cs="Times New Roman"/>
          <w:bCs/>
          <w:lang w:val="uk-UA"/>
        </w:rPr>
        <w:t>інформацію про запланований обсяг та час проведення аудиту та суттєві аудиторські результати, включаючи будь-які суттєві недоліки системи внутрішнього контролю, виявлені нами під час аудиту.</w:t>
      </w:r>
    </w:p>
    <w:p w14:paraId="779893F6" w14:textId="77777777" w:rsidR="0037515F" w:rsidRPr="004229C1" w:rsidRDefault="0037515F" w:rsidP="0037515F">
      <w:pPr>
        <w:autoSpaceDE w:val="0"/>
        <w:autoSpaceDN w:val="0"/>
        <w:adjustRightInd w:val="0"/>
        <w:spacing w:after="240" w:line="240" w:lineRule="atLeast"/>
        <w:jc w:val="both"/>
        <w:rPr>
          <w:rFonts w:ascii="Times New Roman" w:eastAsia="MS Mincho" w:hAnsi="Times New Roman" w:cs="Times New Roman"/>
          <w:lang w:val="uk-UA"/>
        </w:rPr>
      </w:pPr>
      <w:r w:rsidRPr="004229C1">
        <w:rPr>
          <w:rFonts w:ascii="Times New Roman" w:eastAsia="MS Mincho" w:hAnsi="Times New Roman" w:cs="Times New Roman"/>
          <w:lang w:val="uk-UA"/>
        </w:rPr>
        <w:t xml:space="preserve">Ми також надаємо Наглядовій Раді </w:t>
      </w:r>
      <w:r w:rsidRPr="004229C1">
        <w:rPr>
          <w:rFonts w:ascii="Times New Roman" w:hAnsi="Times New Roman" w:cs="Times New Roman"/>
          <w:bCs/>
          <w:lang w:val="uk-UA"/>
        </w:rPr>
        <w:t xml:space="preserve">та Аудиторському комітету </w:t>
      </w:r>
      <w:r w:rsidRPr="004229C1">
        <w:rPr>
          <w:rFonts w:ascii="Times New Roman" w:eastAsia="MS Mincho" w:hAnsi="Times New Roman" w:cs="Times New Roman"/>
          <w:lang w:val="uk-UA"/>
        </w:rPr>
        <w:t xml:space="preserve">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w:t>
      </w:r>
      <w:proofErr w:type="spellStart"/>
      <w:r w:rsidRPr="004229C1">
        <w:rPr>
          <w:rFonts w:ascii="Times New Roman" w:eastAsia="MS Mincho" w:hAnsi="Times New Roman" w:cs="Times New Roman"/>
          <w:lang w:val="uk-UA"/>
        </w:rPr>
        <w:t>застосовно</w:t>
      </w:r>
      <w:proofErr w:type="spellEnd"/>
      <w:r w:rsidRPr="004229C1">
        <w:rPr>
          <w:rFonts w:ascii="Times New Roman" w:eastAsia="MS Mincho" w:hAnsi="Times New Roman" w:cs="Times New Roman"/>
          <w:lang w:val="uk-UA"/>
        </w:rPr>
        <w:t>, щодо дій, вжитих для усунення загроз, або запроваджених застережних заходів.</w:t>
      </w:r>
    </w:p>
    <w:p w14:paraId="337133A3"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lang w:val="uk-UA"/>
        </w:rPr>
      </w:pPr>
      <w:r w:rsidRPr="004229C1">
        <w:rPr>
          <w:rFonts w:ascii="Times New Roman" w:hAnsi="Times New Roman" w:cs="Times New Roman"/>
          <w:lang w:val="uk-UA"/>
        </w:rPr>
        <w:t xml:space="preserve">З переліку всіх питань, інформація щодо яких надавалась Наглядовій Раді </w:t>
      </w:r>
      <w:r w:rsidRPr="004229C1">
        <w:rPr>
          <w:rFonts w:ascii="Times New Roman" w:hAnsi="Times New Roman" w:cs="Times New Roman"/>
          <w:bCs/>
          <w:lang w:val="uk-UA"/>
        </w:rPr>
        <w:t>та Аудиторському комітету</w:t>
      </w:r>
      <w:r w:rsidRPr="004229C1">
        <w:rPr>
          <w:rFonts w:ascii="Times New Roman" w:hAnsi="Times New Roman" w:cs="Times New Roman"/>
          <w:lang w:val="uk-UA"/>
        </w:rPr>
        <w:t>, ми визначили ті, що були найбільш значущими під час аудиту фінансової звітності поточного періоду, тобто ті, які є ключовими питаннями аудиту.</w:t>
      </w:r>
    </w:p>
    <w:p w14:paraId="18D6C404" w14:textId="77777777" w:rsidR="0037515F" w:rsidRPr="004229C1" w:rsidRDefault="0037515F" w:rsidP="0037515F">
      <w:pPr>
        <w:keepNext/>
        <w:autoSpaceDE w:val="0"/>
        <w:autoSpaceDN w:val="0"/>
        <w:adjustRightInd w:val="0"/>
        <w:spacing w:after="240" w:line="240" w:lineRule="atLeast"/>
        <w:jc w:val="both"/>
        <w:rPr>
          <w:rFonts w:ascii="Times New Roman" w:hAnsi="Times New Roman" w:cs="Times New Roman"/>
          <w:b/>
          <w:bCs/>
          <w:i/>
          <w:lang w:val="uk-UA"/>
        </w:rPr>
      </w:pPr>
      <w:r w:rsidRPr="004229C1">
        <w:rPr>
          <w:rFonts w:ascii="Times New Roman" w:hAnsi="Times New Roman" w:cs="Times New Roman"/>
          <w:b/>
          <w:bCs/>
          <w:i/>
          <w:lang w:val="uk-UA"/>
        </w:rPr>
        <w:t>Звіт щодо вимог інших законодавчих і нормативних актів</w:t>
      </w:r>
    </w:p>
    <w:p w14:paraId="022A9217" w14:textId="77777777" w:rsidR="0037515F" w:rsidRPr="004229C1" w:rsidRDefault="0037515F" w:rsidP="0037515F">
      <w:pPr>
        <w:autoSpaceDE w:val="0"/>
        <w:autoSpaceDN w:val="0"/>
        <w:adjustRightInd w:val="0"/>
        <w:spacing w:after="240" w:line="240" w:lineRule="atLeast"/>
        <w:jc w:val="both"/>
        <w:rPr>
          <w:rStyle w:val="tlid-translation"/>
          <w:rFonts w:ascii="Times New Roman" w:hAnsi="Times New Roman" w:cs="Times New Roman"/>
          <w:lang w:val="uk-UA"/>
        </w:rPr>
      </w:pPr>
      <w:r w:rsidRPr="004229C1">
        <w:rPr>
          <w:rFonts w:ascii="Times New Roman" w:hAnsi="Times New Roman" w:cs="Times New Roman"/>
          <w:bCs/>
          <w:lang w:val="uk-UA"/>
        </w:rPr>
        <w:t>Додатково</w:t>
      </w:r>
      <w:r w:rsidRPr="004229C1">
        <w:rPr>
          <w:rStyle w:val="tlid-translation"/>
          <w:rFonts w:ascii="Times New Roman" w:hAnsi="Times New Roman" w:cs="Times New Roman"/>
          <w:lang w:val="uk-UA"/>
        </w:rPr>
        <w:t xml:space="preserve"> до вимог Міжнародних стандартів аудиту, у звіті незалежного аудитора ми надаємо також інформацію відповідно до ч. 4 ст. 14 Закону України «Про аудит фінансової звітності та аудиторську діяльність» № 2258-VIII («Закон № 2258-VIII») та відповідно до «Вимог до інформації, що стосується аудиту або огляду фінансової звітності учасників ринку капіталу та організованих товарних ринків, нагляд за якими здійснює Національна комісія з цінних паперів та фондового ринку (НКЦПФР)», затвердженого рішенням НКЦПФР від 25 липня 2021 року №555 (надалі – «Вимоги НКЦПФР»):</w:t>
      </w:r>
    </w:p>
    <w:p w14:paraId="36333E85" w14:textId="77777777" w:rsidR="0037515F" w:rsidRPr="004229C1" w:rsidRDefault="0037515F" w:rsidP="0037515F">
      <w:pPr>
        <w:keepNext/>
        <w:autoSpaceDE w:val="0"/>
        <w:autoSpaceDN w:val="0"/>
        <w:adjustRightInd w:val="0"/>
        <w:spacing w:after="240" w:line="240" w:lineRule="atLeast"/>
        <w:jc w:val="both"/>
        <w:rPr>
          <w:rStyle w:val="tlid-translation"/>
          <w:rFonts w:ascii="Times New Roman" w:hAnsi="Times New Roman" w:cs="Times New Roman"/>
          <w:i/>
          <w:lang w:val="uk-UA"/>
        </w:rPr>
      </w:pPr>
      <w:r w:rsidRPr="004229C1">
        <w:rPr>
          <w:rFonts w:ascii="Times New Roman" w:hAnsi="Times New Roman" w:cs="Times New Roman"/>
          <w:i/>
          <w:lang w:val="uk-UA"/>
        </w:rPr>
        <w:t xml:space="preserve">Призначення аудитора та загальна тривалість </w:t>
      </w:r>
      <w:r w:rsidRPr="004229C1">
        <w:rPr>
          <w:rStyle w:val="tlid-translation"/>
          <w:rFonts w:ascii="Times New Roman" w:hAnsi="Times New Roman" w:cs="Times New Roman"/>
          <w:i/>
          <w:lang w:val="uk-UA"/>
        </w:rPr>
        <w:t>продовження повноважень</w:t>
      </w:r>
    </w:p>
    <w:p w14:paraId="66F236B4" w14:textId="77777777" w:rsidR="0037515F" w:rsidRPr="004229C1" w:rsidRDefault="0037515F" w:rsidP="0037515F">
      <w:pPr>
        <w:autoSpaceDE w:val="0"/>
        <w:autoSpaceDN w:val="0"/>
        <w:adjustRightInd w:val="0"/>
        <w:spacing w:after="240" w:line="240" w:lineRule="atLeast"/>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 xml:space="preserve">29 жовтня 2020 року нас було вперше призначено Наглядовою Радою в якості незалежного аудитора для проведення обов’язкового аудиту фінансової звітності Банку. </w:t>
      </w:r>
      <w:r w:rsidRPr="004229C1">
        <w:rPr>
          <w:rFonts w:ascii="Times New Roman" w:hAnsi="Times New Roman" w:cs="Times New Roman"/>
          <w:lang w:val="uk-UA" w:eastAsia="ru-RU"/>
        </w:rPr>
        <w:t xml:space="preserve">Наше призначення щорічно поновлюється Наглядовою Радою. </w:t>
      </w:r>
      <w:r w:rsidRPr="004229C1">
        <w:rPr>
          <w:rStyle w:val="tlid-translation"/>
          <w:rFonts w:ascii="Times New Roman" w:hAnsi="Times New Roman" w:cs="Times New Roman"/>
          <w:lang w:val="uk-UA"/>
        </w:rPr>
        <w:t xml:space="preserve">Загальна тривалість безперервного виконання наших повноважень із проведення обов’язкового аудиту Банку становить чотири роки. </w:t>
      </w:r>
    </w:p>
    <w:p w14:paraId="752985AF" w14:textId="77777777" w:rsidR="0037515F" w:rsidRPr="004229C1" w:rsidRDefault="0037515F" w:rsidP="0037515F">
      <w:pPr>
        <w:keepNext/>
        <w:autoSpaceDE w:val="0"/>
        <w:autoSpaceDN w:val="0"/>
        <w:adjustRightInd w:val="0"/>
        <w:spacing w:after="240" w:line="240" w:lineRule="atLeast"/>
        <w:jc w:val="both"/>
        <w:rPr>
          <w:rStyle w:val="tlid-translation"/>
          <w:rFonts w:ascii="Times New Roman" w:hAnsi="Times New Roman" w:cs="Times New Roman"/>
          <w:i/>
          <w:lang w:val="uk-UA"/>
        </w:rPr>
      </w:pPr>
      <w:r w:rsidRPr="004229C1">
        <w:rPr>
          <w:rStyle w:val="tlid-translation"/>
          <w:rFonts w:ascii="Times New Roman" w:hAnsi="Times New Roman" w:cs="Times New Roman"/>
          <w:i/>
          <w:lang w:val="uk-UA"/>
        </w:rPr>
        <w:t xml:space="preserve">Щодо узгодження звіту незалежного аудитора з додатковим звітом для Наглядової Ради та Аудиторського комітету Банку </w:t>
      </w:r>
    </w:p>
    <w:p w14:paraId="54FA72CC" w14:textId="77777777" w:rsidR="0037515F" w:rsidRPr="004229C1" w:rsidRDefault="0037515F" w:rsidP="0037515F">
      <w:pPr>
        <w:autoSpaceDE w:val="0"/>
        <w:autoSpaceDN w:val="0"/>
        <w:adjustRightInd w:val="0"/>
        <w:spacing w:after="240" w:line="240" w:lineRule="atLeast"/>
        <w:jc w:val="both"/>
        <w:rPr>
          <w:rStyle w:val="tlid-translation"/>
          <w:rFonts w:ascii="Times New Roman" w:hAnsi="Times New Roman" w:cs="Times New Roman"/>
          <w:i/>
          <w:lang w:val="uk-UA"/>
        </w:rPr>
      </w:pPr>
      <w:r w:rsidRPr="004229C1">
        <w:rPr>
          <w:rStyle w:val="tlid-translation"/>
          <w:rFonts w:ascii="Times New Roman" w:hAnsi="Times New Roman" w:cs="Times New Roman"/>
          <w:lang w:val="uk-UA"/>
        </w:rPr>
        <w:t>Ми підтверджуємо, що наш звіт незалежного аудитора узгоджується з додатковим звітом для Наглядової Ради та Аудиторського комітету Банку, який ми випустили 27 травня 2025 року відповідно до вимог ст. 35 Закону № 2258-VIII.</w:t>
      </w:r>
    </w:p>
    <w:p w14:paraId="2712EF6D" w14:textId="77777777" w:rsidR="0037515F" w:rsidRPr="004229C1" w:rsidRDefault="0037515F" w:rsidP="0037515F">
      <w:pPr>
        <w:keepNext/>
        <w:autoSpaceDE w:val="0"/>
        <w:autoSpaceDN w:val="0"/>
        <w:adjustRightInd w:val="0"/>
        <w:spacing w:after="120" w:line="240" w:lineRule="atLeast"/>
        <w:jc w:val="both"/>
        <w:rPr>
          <w:rStyle w:val="tlid-translation"/>
          <w:rFonts w:ascii="Times New Roman" w:hAnsi="Times New Roman" w:cs="Times New Roman"/>
          <w:i/>
          <w:lang w:val="uk-UA"/>
        </w:rPr>
      </w:pPr>
      <w:r w:rsidRPr="004229C1">
        <w:rPr>
          <w:rStyle w:val="tlid-translation"/>
          <w:rFonts w:ascii="Times New Roman" w:hAnsi="Times New Roman" w:cs="Times New Roman"/>
          <w:i/>
          <w:lang w:val="uk-UA"/>
        </w:rPr>
        <w:t>Надання неаудиторських послуг</w:t>
      </w:r>
    </w:p>
    <w:p w14:paraId="1C77F0FB" w14:textId="77777777" w:rsidR="0037515F" w:rsidRPr="004229C1" w:rsidRDefault="0037515F" w:rsidP="0037515F">
      <w:pPr>
        <w:autoSpaceDE w:val="0"/>
        <w:autoSpaceDN w:val="0"/>
        <w:adjustRightInd w:val="0"/>
        <w:spacing w:line="240" w:lineRule="atLeast"/>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Ми заявляємо, що неаудиторські послуги, на які встановлено обмеження у ч. 4 ст. 6 Закону № 2258-VIII, нами не надавались. Також, ми не надавали Банку жодних неаудиторських послуг.</w:t>
      </w:r>
    </w:p>
    <w:p w14:paraId="4064927E" w14:textId="77777777" w:rsidR="0037515F" w:rsidRPr="004229C1" w:rsidRDefault="0037515F" w:rsidP="0037515F">
      <w:pPr>
        <w:autoSpaceDE w:val="0"/>
        <w:autoSpaceDN w:val="0"/>
        <w:adjustRightInd w:val="0"/>
        <w:spacing w:line="240" w:lineRule="atLeast"/>
        <w:jc w:val="both"/>
        <w:rPr>
          <w:rFonts w:ascii="Times New Roman" w:hAnsi="Times New Roman" w:cs="Times New Roman"/>
          <w:bCs/>
          <w:i/>
          <w:iCs/>
          <w:lang w:val="uk-UA"/>
        </w:rPr>
      </w:pPr>
    </w:p>
    <w:p w14:paraId="6D54C649"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i/>
          <w:iCs/>
          <w:lang w:val="uk-UA"/>
        </w:rPr>
      </w:pPr>
      <w:r w:rsidRPr="004229C1">
        <w:rPr>
          <w:rFonts w:ascii="Times New Roman" w:hAnsi="Times New Roman" w:cs="Times New Roman"/>
          <w:bCs/>
          <w:i/>
          <w:iCs/>
          <w:lang w:val="uk-UA"/>
        </w:rPr>
        <w:t xml:space="preserve">Звітування щодо Вимог НКЦПФР </w:t>
      </w:r>
    </w:p>
    <w:p w14:paraId="6847C88A"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Повне найменування Банку, інформацію про кінцевого бенефіціара та структуру власності наведено у Примітці 1 та Примітці 36 до фінансової звітності Банку.</w:t>
      </w:r>
    </w:p>
    <w:p w14:paraId="24E5573C" w14:textId="77777777" w:rsidR="0037515F" w:rsidRPr="004229C1" w:rsidRDefault="0037515F" w:rsidP="0037515F">
      <w:pPr>
        <w:pStyle w:val="ListParagraph"/>
        <w:autoSpaceDE w:val="0"/>
        <w:autoSpaceDN w:val="0"/>
        <w:adjustRightInd w:val="0"/>
        <w:spacing w:after="240" w:line="240" w:lineRule="atLeast"/>
        <w:ind w:left="284"/>
        <w:jc w:val="both"/>
        <w:rPr>
          <w:rStyle w:val="tlid-translation"/>
          <w:rFonts w:ascii="Times New Roman" w:hAnsi="Times New Roman" w:cs="Times New Roman"/>
          <w:lang w:val="uk-UA"/>
        </w:rPr>
      </w:pPr>
    </w:p>
    <w:p w14:paraId="0D50715E"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Станом на 31 грудня 2024 року Банк не мав дочірніх компаній та не був контролером або учасником небанківської групи.</w:t>
      </w:r>
      <w:r w:rsidRPr="004229C1">
        <w:rPr>
          <w:rStyle w:val="tlid-translation"/>
          <w:rFonts w:ascii="Times New Roman" w:hAnsi="Times New Roman" w:cs="Times New Roman"/>
          <w:lang w:val="uk-UA"/>
        </w:rPr>
        <w:br/>
      </w:r>
    </w:p>
    <w:p w14:paraId="6219CB15"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Банк є підприємством, що становить суспільний інтерес, у відповідності до Закону України «Про бухгалтерський облік та фінансову звітність в Україні» № 996-XIV.</w:t>
      </w:r>
    </w:p>
    <w:p w14:paraId="1290DDB7" w14:textId="77777777" w:rsidR="0037515F" w:rsidRPr="004229C1" w:rsidRDefault="0037515F" w:rsidP="0037515F">
      <w:pPr>
        <w:pStyle w:val="ListParagraph"/>
        <w:autoSpaceDE w:val="0"/>
        <w:autoSpaceDN w:val="0"/>
        <w:adjustRightInd w:val="0"/>
        <w:spacing w:after="240" w:line="240" w:lineRule="atLeast"/>
        <w:ind w:left="284"/>
        <w:jc w:val="both"/>
        <w:rPr>
          <w:rStyle w:val="tlid-translation"/>
          <w:rFonts w:ascii="Times New Roman" w:hAnsi="Times New Roman" w:cs="Times New Roman"/>
          <w:lang w:val="uk-UA"/>
        </w:rPr>
      </w:pPr>
    </w:p>
    <w:p w14:paraId="5A967D56"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Style w:val="tlid-translation"/>
          <w:rFonts w:ascii="Times New Roman" w:hAnsi="Times New Roman" w:cs="Times New Roman"/>
          <w:lang w:val="uk-UA"/>
        </w:rPr>
      </w:pPr>
      <w:r w:rsidRPr="004229C1">
        <w:rPr>
          <w:rStyle w:val="tlid-translation"/>
          <w:rFonts w:ascii="Times New Roman" w:hAnsi="Times New Roman" w:cs="Times New Roman"/>
          <w:lang w:val="uk-UA"/>
        </w:rPr>
        <w:t>Пруденційні показники, встановлені НКЦПФР для відповідного виду діяльності для професійних учасників ринків капіталу та організованих товарних ринків, не поширюється на банки, які провадять професійну діяльність на фондовому ринку у відповідності до «Положення щодо пруденційних нормативів професійної діяльності на фондовому ринку та вимог до системи управління ризиками» затвердженого рішенням НКЦПФР №1597 від 1 жовтня 2015 року.</w:t>
      </w:r>
      <w:r w:rsidRPr="004229C1">
        <w:rPr>
          <w:rStyle w:val="tlid-translation"/>
          <w:rFonts w:ascii="Times New Roman" w:hAnsi="Times New Roman" w:cs="Times New Roman"/>
          <w:lang w:val="uk-UA"/>
        </w:rPr>
        <w:br/>
      </w:r>
    </w:p>
    <w:p w14:paraId="5A532D7F"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Fonts w:ascii="Times New Roman" w:hAnsi="Times New Roman" w:cs="Times New Roman"/>
          <w:bCs/>
          <w:lang w:val="uk-UA"/>
        </w:rPr>
      </w:pPr>
      <w:r w:rsidRPr="004229C1">
        <w:rPr>
          <w:rFonts w:ascii="Times New Roman" w:hAnsi="Times New Roman" w:cs="Times New Roman"/>
          <w:bCs/>
          <w:lang w:val="uk-UA"/>
        </w:rPr>
        <w:t>Аудиторський комітет Банку не проводив перевірок фінансово-господарської діяльності Банку за результатами фінансового року.</w:t>
      </w:r>
    </w:p>
    <w:p w14:paraId="4405587F" w14:textId="77777777" w:rsidR="0037515F" w:rsidRPr="004229C1" w:rsidRDefault="0037515F" w:rsidP="0037515F">
      <w:pPr>
        <w:pStyle w:val="ListParagraph"/>
        <w:autoSpaceDE w:val="0"/>
        <w:autoSpaceDN w:val="0"/>
        <w:adjustRightInd w:val="0"/>
        <w:spacing w:after="240" w:line="240" w:lineRule="atLeast"/>
        <w:ind w:left="284"/>
        <w:jc w:val="both"/>
        <w:rPr>
          <w:rFonts w:ascii="Times New Roman" w:hAnsi="Times New Roman" w:cs="Times New Roman"/>
          <w:bCs/>
          <w:lang w:val="uk-UA"/>
        </w:rPr>
      </w:pPr>
    </w:p>
    <w:p w14:paraId="1C20E78A" w14:textId="77777777" w:rsidR="0037515F" w:rsidRPr="004229C1" w:rsidRDefault="0037515F" w:rsidP="0037515F">
      <w:pPr>
        <w:pStyle w:val="ListParagraph"/>
        <w:numPr>
          <w:ilvl w:val="0"/>
          <w:numId w:val="8"/>
        </w:numPr>
        <w:autoSpaceDE w:val="0"/>
        <w:autoSpaceDN w:val="0"/>
        <w:adjustRightInd w:val="0"/>
        <w:spacing w:after="240" w:line="240" w:lineRule="atLeast"/>
        <w:ind w:left="284" w:hanging="284"/>
        <w:jc w:val="both"/>
        <w:rPr>
          <w:rFonts w:ascii="Times New Roman" w:hAnsi="Times New Roman" w:cs="Times New Roman"/>
          <w:bCs/>
          <w:lang w:val="uk-UA"/>
        </w:rPr>
      </w:pPr>
      <w:r w:rsidRPr="004229C1">
        <w:rPr>
          <w:rFonts w:ascii="Times New Roman" w:hAnsi="Times New Roman" w:cs="Times New Roman"/>
          <w:bCs/>
          <w:lang w:val="uk-UA"/>
        </w:rPr>
        <w:t xml:space="preserve">Товариство з обмеженою відповідальністю «Ернст </w:t>
      </w:r>
      <w:proofErr w:type="spellStart"/>
      <w:r w:rsidRPr="004229C1">
        <w:rPr>
          <w:rFonts w:ascii="Times New Roman" w:hAnsi="Times New Roman" w:cs="Times New Roman"/>
          <w:bCs/>
          <w:lang w:val="uk-UA"/>
        </w:rPr>
        <w:t>енд</w:t>
      </w:r>
      <w:proofErr w:type="spellEnd"/>
      <w:r w:rsidRPr="004229C1">
        <w:rPr>
          <w:rFonts w:ascii="Times New Roman" w:hAnsi="Times New Roman" w:cs="Times New Roman"/>
          <w:bCs/>
          <w:lang w:val="uk-UA"/>
        </w:rPr>
        <w:t xml:space="preserve"> </w:t>
      </w:r>
      <w:proofErr w:type="spellStart"/>
      <w:r w:rsidRPr="004229C1">
        <w:rPr>
          <w:rFonts w:ascii="Times New Roman" w:hAnsi="Times New Roman" w:cs="Times New Roman"/>
          <w:bCs/>
          <w:lang w:val="uk-UA"/>
        </w:rPr>
        <w:t>Янг</w:t>
      </w:r>
      <w:proofErr w:type="spellEnd"/>
      <w:r w:rsidRPr="004229C1">
        <w:rPr>
          <w:rFonts w:ascii="Times New Roman" w:hAnsi="Times New Roman" w:cs="Times New Roman"/>
          <w:bCs/>
          <w:lang w:val="uk-UA"/>
        </w:rPr>
        <w:t xml:space="preserve"> Аудиторські Послуги» (код ЄРДПОУ: 33306921, веб-сторінка: www.ey.com/uk_ua</w:t>
      </w:r>
      <w:r w:rsidRPr="004229C1" w:rsidDel="00E473D6">
        <w:rPr>
          <w:rFonts w:ascii="Times New Roman" w:hAnsi="Times New Roman" w:cs="Times New Roman"/>
          <w:bCs/>
          <w:lang w:val="uk-UA"/>
        </w:rPr>
        <w:t xml:space="preserve"> </w:t>
      </w:r>
      <w:r w:rsidRPr="004229C1">
        <w:rPr>
          <w:rFonts w:ascii="Times New Roman" w:hAnsi="Times New Roman" w:cs="Times New Roman"/>
          <w:bCs/>
          <w:lang w:val="uk-UA"/>
        </w:rPr>
        <w:t>) проводило аудит фінансової звітності Банку на підставі договору №</w:t>
      </w:r>
      <w:r w:rsidRPr="004229C1">
        <w:rPr>
          <w:rFonts w:ascii="Times New Roman" w:hAnsi="Times New Roman" w:cs="Times New Roman"/>
          <w:lang w:val="uk-UA"/>
        </w:rPr>
        <w:t xml:space="preserve"> </w:t>
      </w:r>
      <w:bookmarkStart w:id="19" w:name="_Hlk195043955"/>
      <w:r w:rsidRPr="004229C1">
        <w:rPr>
          <w:rFonts w:ascii="Times New Roman" w:hAnsi="Times New Roman" w:cs="Times New Roman"/>
          <w:bCs/>
          <w:lang w:val="uk-UA"/>
        </w:rPr>
        <w:t>C-UA50-2024-ASU-2237</w:t>
      </w:r>
      <w:bookmarkEnd w:id="19"/>
      <w:r w:rsidRPr="004229C1">
        <w:rPr>
          <w:rFonts w:ascii="Times New Roman" w:hAnsi="Times New Roman" w:cs="Times New Roman"/>
          <w:bCs/>
          <w:lang w:val="uk-UA"/>
        </w:rPr>
        <w:t xml:space="preserve"> від 27 вересня 2024 року. Аудит був проведений у період з 30 вересня 2024 року по 27 травня2025 року.</w:t>
      </w:r>
    </w:p>
    <w:p w14:paraId="27DC2260"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 xml:space="preserve">Партнером завдання з аудиту, результатом якого є цей звіт незалежного аудитора, є </w:t>
      </w:r>
      <w:proofErr w:type="spellStart"/>
      <w:r w:rsidRPr="004229C1">
        <w:rPr>
          <w:rFonts w:ascii="Times New Roman" w:hAnsi="Times New Roman" w:cs="Times New Roman"/>
          <w:lang w:val="uk-UA"/>
        </w:rPr>
        <w:t>Студинська</w:t>
      </w:r>
      <w:proofErr w:type="spellEnd"/>
      <w:r w:rsidRPr="004229C1">
        <w:rPr>
          <w:rFonts w:ascii="Times New Roman" w:hAnsi="Times New Roman" w:cs="Times New Roman"/>
          <w:lang w:val="uk-UA"/>
        </w:rPr>
        <w:t xml:space="preserve"> Ю.С.</w:t>
      </w:r>
    </w:p>
    <w:p w14:paraId="431F822F"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bCs/>
          <w:lang w:val="uk-UA"/>
        </w:rPr>
        <w:t xml:space="preserve">Від імені ТОВ «Ернст </w:t>
      </w:r>
      <w:proofErr w:type="spellStart"/>
      <w:r w:rsidRPr="004229C1">
        <w:rPr>
          <w:rFonts w:ascii="Times New Roman" w:hAnsi="Times New Roman" w:cs="Times New Roman"/>
          <w:bCs/>
          <w:lang w:val="uk-UA"/>
        </w:rPr>
        <w:t>енд</w:t>
      </w:r>
      <w:proofErr w:type="spellEnd"/>
      <w:r w:rsidRPr="004229C1">
        <w:rPr>
          <w:rFonts w:ascii="Times New Roman" w:hAnsi="Times New Roman" w:cs="Times New Roman"/>
          <w:bCs/>
          <w:lang w:val="uk-UA"/>
        </w:rPr>
        <w:t xml:space="preserve"> </w:t>
      </w:r>
      <w:proofErr w:type="spellStart"/>
      <w:r w:rsidRPr="004229C1">
        <w:rPr>
          <w:rFonts w:ascii="Times New Roman" w:hAnsi="Times New Roman" w:cs="Times New Roman"/>
          <w:bCs/>
          <w:lang w:val="uk-UA"/>
        </w:rPr>
        <w:t>Янг</w:t>
      </w:r>
      <w:proofErr w:type="spellEnd"/>
      <w:r w:rsidRPr="004229C1">
        <w:rPr>
          <w:rFonts w:ascii="Times New Roman" w:hAnsi="Times New Roman" w:cs="Times New Roman"/>
          <w:bCs/>
          <w:lang w:val="uk-UA"/>
        </w:rPr>
        <w:t xml:space="preserve"> Аудиторські послуги»:</w:t>
      </w:r>
    </w:p>
    <w:tbl>
      <w:tblPr>
        <w:tblStyle w:val="TableGrid"/>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630"/>
      </w:tblGrid>
      <w:tr w:rsidR="0037515F" w:rsidRPr="004229C1" w14:paraId="7B8FA47E" w14:textId="77777777" w:rsidTr="00FA3E07">
        <w:tc>
          <w:tcPr>
            <w:tcW w:w="4904" w:type="dxa"/>
          </w:tcPr>
          <w:p w14:paraId="2AD21F97" w14:textId="77777777" w:rsidR="0037515F" w:rsidRPr="004229C1" w:rsidRDefault="0037515F" w:rsidP="0037515F">
            <w:pPr>
              <w:keepNext/>
              <w:autoSpaceDE w:val="0"/>
              <w:autoSpaceDN w:val="0"/>
              <w:adjustRightInd w:val="0"/>
              <w:ind w:left="180"/>
              <w:jc w:val="both"/>
              <w:rPr>
                <w:rFonts w:ascii="Times New Roman" w:hAnsi="Times New Roman"/>
                <w:color w:val="000000"/>
                <w:sz w:val="24"/>
                <w:szCs w:val="24"/>
                <w:lang w:val="uk-UA"/>
              </w:rPr>
            </w:pPr>
          </w:p>
          <w:p w14:paraId="5A12A784" w14:textId="77777777" w:rsidR="0037515F" w:rsidRPr="004229C1" w:rsidRDefault="0037515F" w:rsidP="0037515F">
            <w:pPr>
              <w:keepNext/>
              <w:autoSpaceDE w:val="0"/>
              <w:autoSpaceDN w:val="0"/>
              <w:adjustRightInd w:val="0"/>
              <w:ind w:left="180"/>
              <w:jc w:val="both"/>
              <w:rPr>
                <w:rFonts w:ascii="Times New Roman" w:hAnsi="Times New Roman"/>
                <w:color w:val="000000"/>
                <w:sz w:val="24"/>
                <w:szCs w:val="24"/>
                <w:lang w:val="uk-UA"/>
              </w:rPr>
            </w:pPr>
          </w:p>
          <w:p w14:paraId="18B14D9E"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p>
          <w:p w14:paraId="64FB77FE"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p>
          <w:p w14:paraId="1E37440F"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proofErr w:type="spellStart"/>
            <w:r w:rsidRPr="004229C1">
              <w:rPr>
                <w:rFonts w:ascii="Times New Roman" w:hAnsi="Times New Roman"/>
                <w:bCs/>
                <w:sz w:val="24"/>
                <w:szCs w:val="24"/>
                <w:lang w:val="uk-UA"/>
              </w:rPr>
              <w:t>Свістіч</w:t>
            </w:r>
            <w:proofErr w:type="spellEnd"/>
            <w:r w:rsidRPr="004229C1">
              <w:rPr>
                <w:rFonts w:ascii="Times New Roman" w:hAnsi="Times New Roman"/>
                <w:bCs/>
                <w:sz w:val="24"/>
                <w:szCs w:val="24"/>
                <w:lang w:val="uk-UA"/>
              </w:rPr>
              <w:t xml:space="preserve"> О.М. </w:t>
            </w:r>
          </w:p>
          <w:p w14:paraId="493AC5CC"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r w:rsidRPr="004229C1">
              <w:rPr>
                <w:rFonts w:ascii="Times New Roman" w:hAnsi="Times New Roman"/>
                <w:bCs/>
                <w:sz w:val="24"/>
                <w:szCs w:val="24"/>
                <w:lang w:val="uk-UA"/>
              </w:rPr>
              <w:t>Генеральний директор</w:t>
            </w:r>
          </w:p>
          <w:p w14:paraId="6EC2EE7C"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p>
          <w:p w14:paraId="474400E9" w14:textId="77777777" w:rsidR="0037515F" w:rsidRPr="004229C1" w:rsidRDefault="0037515F" w:rsidP="0037515F">
            <w:pPr>
              <w:keepNext/>
              <w:autoSpaceDE w:val="0"/>
              <w:autoSpaceDN w:val="0"/>
              <w:adjustRightInd w:val="0"/>
              <w:ind w:left="180"/>
              <w:jc w:val="both"/>
              <w:rPr>
                <w:rFonts w:ascii="Times New Roman" w:hAnsi="Times New Roman"/>
                <w:bCs/>
                <w:sz w:val="24"/>
                <w:szCs w:val="24"/>
                <w:lang w:val="uk-UA"/>
              </w:rPr>
            </w:pPr>
            <w:r w:rsidRPr="004229C1">
              <w:rPr>
                <w:rFonts w:ascii="Times New Roman" w:hAnsi="Times New Roman"/>
                <w:bCs/>
                <w:sz w:val="24"/>
                <w:szCs w:val="24"/>
                <w:lang w:val="uk-UA"/>
              </w:rPr>
              <w:t>Номер запису в Реєстрі аудиторів та суб’єктів аудиторської діяльності 101250</w:t>
            </w:r>
          </w:p>
        </w:tc>
        <w:tc>
          <w:tcPr>
            <w:tcW w:w="4630" w:type="dxa"/>
          </w:tcPr>
          <w:p w14:paraId="16E3B9D9" w14:textId="77777777" w:rsidR="0037515F" w:rsidRPr="004229C1" w:rsidRDefault="0037515F" w:rsidP="0037515F">
            <w:pPr>
              <w:keepNext/>
              <w:autoSpaceDE w:val="0"/>
              <w:autoSpaceDN w:val="0"/>
              <w:adjustRightInd w:val="0"/>
              <w:jc w:val="both"/>
              <w:rPr>
                <w:rFonts w:ascii="Times New Roman" w:hAnsi="Times New Roman"/>
                <w:color w:val="000000"/>
                <w:sz w:val="24"/>
                <w:szCs w:val="24"/>
                <w:lang w:val="uk-UA"/>
              </w:rPr>
            </w:pPr>
          </w:p>
          <w:p w14:paraId="395D6D15" w14:textId="77777777" w:rsidR="0037515F" w:rsidRPr="004229C1" w:rsidRDefault="0037515F" w:rsidP="0037515F">
            <w:pPr>
              <w:keepNext/>
              <w:autoSpaceDE w:val="0"/>
              <w:autoSpaceDN w:val="0"/>
              <w:adjustRightInd w:val="0"/>
              <w:jc w:val="both"/>
              <w:rPr>
                <w:rFonts w:ascii="Times New Roman" w:hAnsi="Times New Roman"/>
                <w:color w:val="000000"/>
                <w:sz w:val="24"/>
                <w:szCs w:val="24"/>
                <w:lang w:val="uk-UA"/>
              </w:rPr>
            </w:pPr>
          </w:p>
          <w:p w14:paraId="502EA1C2" w14:textId="77777777" w:rsidR="0037515F" w:rsidRPr="004229C1" w:rsidRDefault="0037515F" w:rsidP="0037515F">
            <w:pPr>
              <w:keepNext/>
              <w:autoSpaceDE w:val="0"/>
              <w:autoSpaceDN w:val="0"/>
              <w:adjustRightInd w:val="0"/>
              <w:jc w:val="both"/>
              <w:rPr>
                <w:rFonts w:ascii="Times New Roman" w:hAnsi="Times New Roman"/>
                <w:color w:val="000000"/>
                <w:sz w:val="24"/>
                <w:szCs w:val="24"/>
                <w:lang w:val="uk-UA"/>
              </w:rPr>
            </w:pPr>
          </w:p>
          <w:p w14:paraId="2800753B" w14:textId="77777777" w:rsidR="0037515F" w:rsidRPr="004229C1" w:rsidRDefault="0037515F" w:rsidP="0037515F">
            <w:pPr>
              <w:keepNext/>
              <w:autoSpaceDE w:val="0"/>
              <w:autoSpaceDN w:val="0"/>
              <w:adjustRightInd w:val="0"/>
              <w:jc w:val="both"/>
              <w:rPr>
                <w:rFonts w:ascii="Times New Roman" w:hAnsi="Times New Roman"/>
                <w:bCs/>
                <w:sz w:val="24"/>
                <w:szCs w:val="24"/>
                <w:lang w:val="uk-UA"/>
              </w:rPr>
            </w:pPr>
          </w:p>
          <w:p w14:paraId="349E2589" w14:textId="77777777" w:rsidR="0037515F" w:rsidRPr="004229C1" w:rsidRDefault="0037515F" w:rsidP="0037515F">
            <w:pPr>
              <w:keepNext/>
              <w:autoSpaceDE w:val="0"/>
              <w:autoSpaceDN w:val="0"/>
              <w:adjustRightInd w:val="0"/>
              <w:jc w:val="both"/>
              <w:rPr>
                <w:rFonts w:ascii="Times New Roman" w:hAnsi="Times New Roman"/>
                <w:bCs/>
                <w:sz w:val="24"/>
                <w:szCs w:val="24"/>
                <w:lang w:val="uk-UA"/>
              </w:rPr>
            </w:pPr>
            <w:proofErr w:type="spellStart"/>
            <w:r w:rsidRPr="004229C1">
              <w:rPr>
                <w:rFonts w:ascii="Times New Roman" w:hAnsi="Times New Roman"/>
                <w:bCs/>
                <w:sz w:val="24"/>
                <w:szCs w:val="24"/>
                <w:lang w:val="uk-UA"/>
              </w:rPr>
              <w:t>Студинська</w:t>
            </w:r>
            <w:proofErr w:type="spellEnd"/>
            <w:r w:rsidRPr="004229C1">
              <w:rPr>
                <w:rFonts w:ascii="Times New Roman" w:hAnsi="Times New Roman"/>
                <w:bCs/>
                <w:sz w:val="24"/>
                <w:szCs w:val="24"/>
                <w:lang w:val="uk-UA"/>
              </w:rPr>
              <w:t xml:space="preserve"> Ю.С.</w:t>
            </w:r>
            <w:r w:rsidRPr="004229C1">
              <w:rPr>
                <w:rFonts w:ascii="Times New Roman" w:hAnsi="Times New Roman"/>
                <w:bCs/>
                <w:sz w:val="24"/>
                <w:szCs w:val="24"/>
                <w:lang w:val="uk-UA"/>
              </w:rPr>
              <w:br/>
              <w:t>Партнер</w:t>
            </w:r>
          </w:p>
          <w:p w14:paraId="3212CF17" w14:textId="77777777" w:rsidR="0037515F" w:rsidRPr="004229C1" w:rsidRDefault="0037515F" w:rsidP="0037515F">
            <w:pPr>
              <w:keepNext/>
              <w:autoSpaceDE w:val="0"/>
              <w:autoSpaceDN w:val="0"/>
              <w:adjustRightInd w:val="0"/>
              <w:jc w:val="both"/>
              <w:rPr>
                <w:rFonts w:ascii="Times New Roman" w:hAnsi="Times New Roman"/>
                <w:bCs/>
                <w:sz w:val="24"/>
                <w:szCs w:val="24"/>
                <w:lang w:val="uk-UA"/>
              </w:rPr>
            </w:pPr>
          </w:p>
          <w:p w14:paraId="169F626D" w14:textId="77777777" w:rsidR="0037515F" w:rsidRPr="004229C1" w:rsidRDefault="0037515F" w:rsidP="0037515F">
            <w:pPr>
              <w:keepNext/>
              <w:autoSpaceDE w:val="0"/>
              <w:autoSpaceDN w:val="0"/>
              <w:adjustRightInd w:val="0"/>
              <w:jc w:val="both"/>
              <w:rPr>
                <w:rFonts w:ascii="Times New Roman" w:hAnsi="Times New Roman"/>
                <w:bCs/>
                <w:sz w:val="24"/>
                <w:szCs w:val="24"/>
                <w:lang w:val="uk-UA"/>
              </w:rPr>
            </w:pPr>
            <w:r w:rsidRPr="004229C1">
              <w:rPr>
                <w:rFonts w:ascii="Times New Roman" w:hAnsi="Times New Roman"/>
                <w:bCs/>
                <w:sz w:val="24"/>
                <w:szCs w:val="24"/>
                <w:lang w:val="uk-UA"/>
              </w:rPr>
              <w:t>Номер запису в Реєстрі аудиторів та суб’єктів аудиторської діяльності 101256</w:t>
            </w:r>
          </w:p>
        </w:tc>
      </w:tr>
    </w:tbl>
    <w:p w14:paraId="50A67F1E" w14:textId="77777777" w:rsidR="0037515F" w:rsidRPr="004229C1" w:rsidRDefault="0037515F" w:rsidP="0037515F">
      <w:pPr>
        <w:autoSpaceDE w:val="0"/>
        <w:autoSpaceDN w:val="0"/>
        <w:adjustRightInd w:val="0"/>
        <w:spacing w:after="240" w:line="240" w:lineRule="atLeast"/>
        <w:jc w:val="both"/>
        <w:rPr>
          <w:rFonts w:ascii="Times New Roman" w:hAnsi="Times New Roman" w:cs="Times New Roman"/>
          <w:bCs/>
          <w:lang w:val="uk-UA"/>
        </w:rPr>
      </w:pPr>
      <w:r w:rsidRPr="004229C1">
        <w:rPr>
          <w:rFonts w:ascii="Times New Roman" w:hAnsi="Times New Roman" w:cs="Times New Roman"/>
          <w:bCs/>
          <w:lang w:val="uk-UA"/>
        </w:rPr>
        <w:t>м. Київ, Україна</w:t>
      </w:r>
    </w:p>
    <w:p w14:paraId="1E6779CB" w14:textId="77777777" w:rsidR="0037515F" w:rsidRPr="004229C1" w:rsidRDefault="0037515F" w:rsidP="0037515F">
      <w:pPr>
        <w:tabs>
          <w:tab w:val="left" w:pos="1035"/>
        </w:tabs>
        <w:autoSpaceDE w:val="0"/>
        <w:autoSpaceDN w:val="0"/>
        <w:adjustRightInd w:val="0"/>
        <w:spacing w:line="240" w:lineRule="atLeast"/>
        <w:jc w:val="both"/>
        <w:rPr>
          <w:rFonts w:ascii="Times New Roman" w:hAnsi="Times New Roman" w:cs="Times New Roman"/>
          <w:bCs/>
          <w:lang w:val="uk-UA"/>
        </w:rPr>
      </w:pPr>
      <w:r w:rsidRPr="004229C1">
        <w:rPr>
          <w:rFonts w:ascii="Times New Roman" w:hAnsi="Times New Roman" w:cs="Times New Roman"/>
          <w:bCs/>
          <w:lang w:val="uk-UA"/>
        </w:rPr>
        <w:t>27 травня 2025 року</w:t>
      </w:r>
      <w:r w:rsidRPr="004229C1">
        <w:rPr>
          <w:rFonts w:ascii="Times New Roman" w:hAnsi="Times New Roman" w:cs="Times New Roman"/>
          <w:bCs/>
          <w:lang w:val="uk-UA"/>
        </w:rPr>
        <w:tab/>
      </w:r>
    </w:p>
    <w:p w14:paraId="5F94B2DA"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669E4A9B" w14:textId="77777777" w:rsidR="007469BF" w:rsidRPr="004229C1" w:rsidRDefault="000B08A7" w:rsidP="00394FCC">
      <w:pPr>
        <w:pStyle w:val="Heading2"/>
        <w:rPr>
          <w:rFonts w:cs="Times New Roman"/>
          <w:lang w:val="uk-UA"/>
        </w:rPr>
      </w:pPr>
      <w:bookmarkStart w:id="20" w:name="_Toc200057394"/>
      <w:r w:rsidRPr="004229C1">
        <w:rPr>
          <w:rFonts w:cs="Times New Roman"/>
          <w:lang w:val="uk-UA"/>
        </w:rPr>
        <w:t>4. Твердження щодо річної інформації</w:t>
      </w:r>
      <w:bookmarkEnd w:id="20"/>
    </w:p>
    <w:p w14:paraId="4537A041" w14:textId="2A3AC134" w:rsidR="009F4D94" w:rsidRPr="004229C1" w:rsidRDefault="009F4D94" w:rsidP="007066A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Стверджуємо</w:t>
      </w:r>
      <w:r w:rsidR="000B08A7" w:rsidRPr="004229C1">
        <w:rPr>
          <w:rFonts w:ascii="Times New Roman" w:hAnsi="Times New Roman" w:cs="Times New Roman"/>
          <w:kern w:val="0"/>
          <w:lang w:val="uk-UA"/>
        </w:rPr>
        <w:t>, що</w:t>
      </w:r>
      <w:r w:rsidRPr="004229C1">
        <w:rPr>
          <w:rFonts w:ascii="Times New Roman" w:hAnsi="Times New Roman" w:cs="Times New Roman"/>
          <w:kern w:val="0"/>
          <w:lang w:val="uk-UA"/>
        </w:rPr>
        <w:t>, наскільки нам відомо:</w:t>
      </w:r>
    </w:p>
    <w:p w14:paraId="5C03FEBA" w14:textId="228A1A98" w:rsidR="009F4D94" w:rsidRPr="004229C1" w:rsidRDefault="009F4D94" w:rsidP="009F4D94">
      <w:pPr>
        <w:pStyle w:val="ListParagraph"/>
        <w:widowControl w:val="0"/>
        <w:numPr>
          <w:ilvl w:val="0"/>
          <w:numId w:val="2"/>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річна фінансова звітність складена відповідно до стандартів бухгалтерського обліку, передбачених Законом України «Про бухгалтерський облік та фінансову звітність в Україні», </w:t>
      </w:r>
      <w:r w:rsidR="000B08A7" w:rsidRPr="004229C1">
        <w:rPr>
          <w:rFonts w:ascii="Times New Roman" w:hAnsi="Times New Roman" w:cs="Times New Roman"/>
          <w:kern w:val="0"/>
          <w:lang w:val="uk-UA"/>
        </w:rPr>
        <w:t xml:space="preserve">, </w:t>
      </w:r>
      <w:proofErr w:type="spellStart"/>
      <w:r w:rsidR="000B08A7" w:rsidRPr="004229C1">
        <w:rPr>
          <w:rFonts w:ascii="Times New Roman" w:hAnsi="Times New Roman" w:cs="Times New Roman"/>
          <w:kern w:val="0"/>
          <w:lang w:val="uk-UA"/>
        </w:rPr>
        <w:t>мiстить</w:t>
      </w:r>
      <w:proofErr w:type="spellEnd"/>
      <w:r w:rsidR="000B08A7" w:rsidRPr="004229C1">
        <w:rPr>
          <w:rFonts w:ascii="Times New Roman" w:hAnsi="Times New Roman" w:cs="Times New Roman"/>
          <w:kern w:val="0"/>
          <w:lang w:val="uk-UA"/>
        </w:rPr>
        <w:t xml:space="preserve"> </w:t>
      </w:r>
      <w:r w:rsidRPr="004229C1">
        <w:rPr>
          <w:rFonts w:ascii="Times New Roman" w:hAnsi="Times New Roman" w:cs="Times New Roman"/>
          <w:kern w:val="0"/>
          <w:lang w:val="uk-UA"/>
        </w:rPr>
        <w:t xml:space="preserve">достовірну та об'єктивну інформацію </w:t>
      </w:r>
      <w:r w:rsidR="000B08A7" w:rsidRPr="004229C1">
        <w:rPr>
          <w:rFonts w:ascii="Times New Roman" w:hAnsi="Times New Roman" w:cs="Times New Roman"/>
          <w:kern w:val="0"/>
          <w:lang w:val="uk-UA"/>
        </w:rPr>
        <w:t xml:space="preserve">про стан </w:t>
      </w:r>
      <w:proofErr w:type="spellStart"/>
      <w:r w:rsidR="000B08A7" w:rsidRPr="004229C1">
        <w:rPr>
          <w:rFonts w:ascii="Times New Roman" w:hAnsi="Times New Roman" w:cs="Times New Roman"/>
          <w:kern w:val="0"/>
          <w:lang w:val="uk-UA"/>
        </w:rPr>
        <w:t>активiв</w:t>
      </w:r>
      <w:proofErr w:type="spellEnd"/>
      <w:r w:rsidR="000B08A7" w:rsidRPr="004229C1">
        <w:rPr>
          <w:rFonts w:ascii="Times New Roman" w:hAnsi="Times New Roman" w:cs="Times New Roman"/>
          <w:kern w:val="0"/>
          <w:lang w:val="uk-UA"/>
        </w:rPr>
        <w:t xml:space="preserve">, </w:t>
      </w:r>
      <w:proofErr w:type="spellStart"/>
      <w:r w:rsidR="000B08A7" w:rsidRPr="004229C1">
        <w:rPr>
          <w:rFonts w:ascii="Times New Roman" w:hAnsi="Times New Roman" w:cs="Times New Roman"/>
          <w:kern w:val="0"/>
          <w:lang w:val="uk-UA"/>
        </w:rPr>
        <w:t>пасивiв</w:t>
      </w:r>
      <w:proofErr w:type="spellEnd"/>
      <w:r w:rsidR="000B08A7" w:rsidRPr="004229C1">
        <w:rPr>
          <w:rFonts w:ascii="Times New Roman" w:hAnsi="Times New Roman" w:cs="Times New Roman"/>
          <w:kern w:val="0"/>
          <w:lang w:val="uk-UA"/>
        </w:rPr>
        <w:t xml:space="preserve">, </w:t>
      </w:r>
      <w:proofErr w:type="spellStart"/>
      <w:r w:rsidR="000B08A7" w:rsidRPr="004229C1">
        <w:rPr>
          <w:rFonts w:ascii="Times New Roman" w:hAnsi="Times New Roman" w:cs="Times New Roman"/>
          <w:kern w:val="0"/>
          <w:lang w:val="uk-UA"/>
        </w:rPr>
        <w:t>фiнансовий</w:t>
      </w:r>
      <w:proofErr w:type="spellEnd"/>
      <w:r w:rsidR="000B08A7" w:rsidRPr="004229C1">
        <w:rPr>
          <w:rFonts w:ascii="Times New Roman" w:hAnsi="Times New Roman" w:cs="Times New Roman"/>
          <w:kern w:val="0"/>
          <w:lang w:val="uk-UA"/>
        </w:rPr>
        <w:t xml:space="preserve"> стан, прибутки та збитки АТ "ПРАВЕКС БАНК"</w:t>
      </w:r>
      <w:r w:rsidRPr="004229C1">
        <w:rPr>
          <w:rFonts w:ascii="Times New Roman" w:hAnsi="Times New Roman" w:cs="Times New Roman"/>
          <w:kern w:val="0"/>
          <w:lang w:val="uk-UA"/>
        </w:rPr>
        <w:t>;</w:t>
      </w:r>
    </w:p>
    <w:p w14:paraId="61A10E59" w14:textId="407A0BD8" w:rsidR="007469BF" w:rsidRPr="004229C1" w:rsidRDefault="009F4D94" w:rsidP="009F4D94">
      <w:pPr>
        <w:pStyle w:val="ListParagraph"/>
        <w:widowControl w:val="0"/>
        <w:numPr>
          <w:ilvl w:val="0"/>
          <w:numId w:val="2"/>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звіт керівництва містить достовірну та об'єктивну інформацію про розвиток і здійснення господарської діяльності, і стан АТ "ПРАВЕКС БАНК" разом з описом основних ризиків та </w:t>
      </w:r>
      <w:proofErr w:type="spellStart"/>
      <w:r w:rsidRPr="004229C1">
        <w:rPr>
          <w:rFonts w:ascii="Times New Roman" w:hAnsi="Times New Roman" w:cs="Times New Roman"/>
          <w:kern w:val="0"/>
          <w:lang w:val="uk-UA"/>
        </w:rPr>
        <w:t>невизначеностей</w:t>
      </w:r>
      <w:proofErr w:type="spellEnd"/>
      <w:r w:rsidRPr="004229C1">
        <w:rPr>
          <w:rFonts w:ascii="Times New Roman" w:hAnsi="Times New Roman" w:cs="Times New Roman"/>
          <w:kern w:val="0"/>
          <w:lang w:val="uk-UA"/>
        </w:rPr>
        <w:t>, з якими АТ "ПРАВЕКС БАНК" стикається у процесі господарської діяльності</w:t>
      </w:r>
      <w:r w:rsidR="000B08A7" w:rsidRPr="004229C1">
        <w:rPr>
          <w:rFonts w:ascii="Times New Roman" w:hAnsi="Times New Roman" w:cs="Times New Roman"/>
          <w:kern w:val="0"/>
          <w:lang w:val="uk-UA"/>
        </w:rPr>
        <w:t xml:space="preserve">. </w:t>
      </w:r>
    </w:p>
    <w:p w14:paraId="7AB057B3" w14:textId="77777777" w:rsidR="007469BF" w:rsidRPr="004229C1" w:rsidRDefault="007469BF" w:rsidP="007066AB">
      <w:pPr>
        <w:widowControl w:val="0"/>
        <w:autoSpaceDE w:val="0"/>
        <w:autoSpaceDN w:val="0"/>
        <w:adjustRightInd w:val="0"/>
        <w:spacing w:after="0" w:line="240" w:lineRule="auto"/>
        <w:jc w:val="both"/>
        <w:rPr>
          <w:rFonts w:ascii="Times New Roman" w:hAnsi="Times New Roman" w:cs="Times New Roman"/>
          <w:kern w:val="0"/>
          <w:lang w:val="uk-UA"/>
        </w:rPr>
      </w:pPr>
    </w:p>
    <w:p w14:paraId="5C7649E8" w14:textId="2011D7E1" w:rsidR="007469BF" w:rsidRPr="004229C1" w:rsidRDefault="001007B4" w:rsidP="007066A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Більш детально щодо основ складання звітності наведено в Примітці 3 до Річної фінансової</w:t>
      </w:r>
      <w:r w:rsidR="004A0A2C" w:rsidRPr="004229C1">
        <w:rPr>
          <w:rFonts w:ascii="Times New Roman" w:hAnsi="Times New Roman" w:cs="Times New Roman"/>
          <w:kern w:val="0"/>
          <w:lang w:val="uk-UA"/>
        </w:rPr>
        <w:t xml:space="preserve"> звітності Банку за 202</w:t>
      </w:r>
      <w:r w:rsidR="0037515F" w:rsidRPr="004229C1">
        <w:rPr>
          <w:rFonts w:ascii="Times New Roman" w:hAnsi="Times New Roman" w:cs="Times New Roman"/>
          <w:kern w:val="0"/>
          <w:lang w:val="uk-UA"/>
        </w:rPr>
        <w:t>4</w:t>
      </w:r>
      <w:r w:rsidR="004A0A2C" w:rsidRPr="004229C1">
        <w:rPr>
          <w:rFonts w:ascii="Times New Roman" w:hAnsi="Times New Roman" w:cs="Times New Roman"/>
          <w:kern w:val="0"/>
          <w:lang w:val="uk-UA"/>
        </w:rPr>
        <w:t xml:space="preserve"> р. </w:t>
      </w:r>
      <w:hyperlink r:id="rId26" w:history="1">
        <w:r w:rsidR="00085CA8" w:rsidRPr="004229C1">
          <w:rPr>
            <w:rStyle w:val="Hyperlink"/>
            <w:rFonts w:ascii="Times New Roman" w:hAnsi="Times New Roman" w:cs="Times New Roman"/>
            <w:kern w:val="0"/>
            <w:lang w:val="uk-UA"/>
          </w:rPr>
          <w:t>https://www.pravex.com.ua/storage/files/annual-report-for-the-year-ukr-pravex-bank-2024_1749195756.pdf</w:t>
        </w:r>
      </w:hyperlink>
      <w:r w:rsidR="004A0A2C" w:rsidRPr="004229C1">
        <w:rPr>
          <w:rFonts w:ascii="Times New Roman" w:hAnsi="Times New Roman" w:cs="Times New Roman"/>
          <w:kern w:val="0"/>
          <w:lang w:val="uk-UA"/>
        </w:rPr>
        <w:t xml:space="preserve"> </w:t>
      </w:r>
    </w:p>
    <w:p w14:paraId="38AD930B"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5F083A4B"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0033B81F"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20F14BBE"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111309C3"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67173BC8" w14:textId="77777777" w:rsidR="00FD3E3A" w:rsidRPr="004229C1" w:rsidRDefault="00FD3E3A">
      <w:pPr>
        <w:widowControl w:val="0"/>
        <w:autoSpaceDE w:val="0"/>
        <w:autoSpaceDN w:val="0"/>
        <w:adjustRightInd w:val="0"/>
        <w:spacing w:after="0" w:line="240" w:lineRule="auto"/>
        <w:rPr>
          <w:rFonts w:ascii="Times New Roman" w:hAnsi="Times New Roman" w:cs="Times New Roman"/>
          <w:kern w:val="0"/>
          <w:lang w:val="uk-UA"/>
        </w:rPr>
      </w:pPr>
    </w:p>
    <w:p w14:paraId="6734230E"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pPr>
    </w:p>
    <w:p w14:paraId="15102076" w14:textId="77777777" w:rsidR="007A32D8" w:rsidRPr="004229C1" w:rsidRDefault="007A32D8">
      <w:pPr>
        <w:widowControl w:val="0"/>
        <w:autoSpaceDE w:val="0"/>
        <w:autoSpaceDN w:val="0"/>
        <w:adjustRightInd w:val="0"/>
        <w:spacing w:after="0" w:line="240" w:lineRule="auto"/>
        <w:rPr>
          <w:rFonts w:ascii="Times New Roman" w:hAnsi="Times New Roman" w:cs="Times New Roman"/>
          <w:kern w:val="0"/>
          <w:lang w:val="uk-UA"/>
        </w:rPr>
        <w:sectPr w:rsidR="007A32D8" w:rsidRPr="004229C1" w:rsidSect="004A0A2C">
          <w:pgSz w:w="11905" w:h="16837" w:orient="landscape"/>
          <w:pgMar w:top="570" w:right="720" w:bottom="570" w:left="720" w:header="720" w:footer="720" w:gutter="0"/>
          <w:cols w:space="720"/>
          <w:noEndnote/>
          <w:docGrid w:linePitch="326"/>
        </w:sectPr>
      </w:pPr>
    </w:p>
    <w:p w14:paraId="21CFE3D5" w14:textId="77777777" w:rsidR="007469BF" w:rsidRPr="004229C1" w:rsidRDefault="000B08A7" w:rsidP="00394FCC">
      <w:pPr>
        <w:pStyle w:val="Heading1"/>
        <w:rPr>
          <w:rFonts w:cs="Times New Roman"/>
          <w:lang w:val="uk-UA"/>
        </w:rPr>
      </w:pPr>
      <w:bookmarkStart w:id="21" w:name="_Toc200057395"/>
      <w:r w:rsidRPr="004229C1">
        <w:rPr>
          <w:rFonts w:cs="Times New Roman"/>
          <w:lang w:val="uk-UA"/>
        </w:rPr>
        <w:t>IV. Нефінансова інформація</w:t>
      </w:r>
      <w:bookmarkEnd w:id="21"/>
    </w:p>
    <w:p w14:paraId="3F6436D3" w14:textId="7918CD3A" w:rsidR="007469BF" w:rsidRPr="004229C1" w:rsidRDefault="007A32D8" w:rsidP="00394FCC">
      <w:pPr>
        <w:pStyle w:val="Heading2"/>
        <w:rPr>
          <w:rFonts w:cs="Times New Roman"/>
          <w:lang w:val="uk-UA"/>
        </w:rPr>
      </w:pPr>
      <w:bookmarkStart w:id="22" w:name="_Toc200057396"/>
      <w:r w:rsidRPr="004229C1">
        <w:rPr>
          <w:rFonts w:cs="Times New Roman"/>
          <w:lang w:val="uk-UA"/>
        </w:rPr>
        <w:t>1. Звіт керівництва (звіт про управління)</w:t>
      </w:r>
      <w:bookmarkEnd w:id="22"/>
    </w:p>
    <w:p w14:paraId="19C04D14" w14:textId="77777777" w:rsidR="0036288B" w:rsidRPr="004229C1" w:rsidRDefault="0036288B" w:rsidP="004A3B2B">
      <w:pPr>
        <w:pStyle w:val="ListParagraph"/>
        <w:widowControl w:val="0"/>
        <w:autoSpaceDE w:val="0"/>
        <w:autoSpaceDN w:val="0"/>
        <w:adjustRightInd w:val="0"/>
        <w:spacing w:after="0" w:line="240" w:lineRule="auto"/>
        <w:rPr>
          <w:rFonts w:ascii="Times New Roman" w:hAnsi="Times New Roman" w:cs="Times New Roman"/>
          <w:kern w:val="0"/>
          <w:lang w:val="uk-UA"/>
        </w:rPr>
      </w:pPr>
    </w:p>
    <w:p w14:paraId="02980B55"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i/>
          <w:iCs/>
          <w:kern w:val="0"/>
          <w:lang w:val="uk-UA"/>
        </w:rPr>
      </w:pPr>
      <w:r w:rsidRPr="004229C1">
        <w:rPr>
          <w:rFonts w:ascii="Times New Roman" w:hAnsi="Times New Roman" w:cs="Times New Roman"/>
          <w:i/>
          <w:iCs/>
          <w:kern w:val="0"/>
          <w:lang w:val="uk-UA"/>
        </w:rPr>
        <w:t>1. Звернення до акціонерів/учасників та інших стейкхолдерів від голови ради особи</w:t>
      </w:r>
    </w:p>
    <w:p w14:paraId="17B61721" w14:textId="77777777" w:rsidR="0036288B" w:rsidRPr="004229C1" w:rsidRDefault="0036288B">
      <w:pPr>
        <w:widowControl w:val="0"/>
        <w:autoSpaceDE w:val="0"/>
        <w:autoSpaceDN w:val="0"/>
        <w:adjustRightInd w:val="0"/>
        <w:spacing w:after="0" w:line="240" w:lineRule="auto"/>
        <w:jc w:val="both"/>
        <w:rPr>
          <w:rFonts w:ascii="Times New Roman" w:hAnsi="Times New Roman" w:cs="Times New Roman"/>
          <w:kern w:val="0"/>
          <w:lang w:val="uk-UA"/>
        </w:rPr>
      </w:pPr>
    </w:p>
    <w:p w14:paraId="2987361C"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Шановні акціонери та зацікавлені сторони,</w:t>
      </w:r>
    </w:p>
    <w:p w14:paraId="4333866C"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2AB8A431" w14:textId="629E245B"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Озираючись на 2024 рік, хочу висловити щиру подяку нашим акціонерам, клієнтам, співробітникам і партнерам за їхню незмінну довіру та відданість ПРАВЕКС БАНКУ — члену Групи Інтеза Санпаоло. Минулий рік приніс безпрецедентні виклики, зокрема через триваючу війну в Україні. Попри ці труднощі, ми залишаємося відданими фінансовій стабільності, ефективному корпоративному управлінню та створенню довгострокової цінності.</w:t>
      </w:r>
    </w:p>
    <w:p w14:paraId="087FC62B"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28E21559" w14:textId="4BD4BE8B"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Протягом 2024 року ми зосередилися на забезпеченні високих стандартів наглядової діяльності, захисті інтересів наших стейкхолдерів і зміцненні стійкості Банку. У співпраці з Групою Інтеза Санпаоло, ПРАВЕКС БАНК продовжує дотримуватися найвищих етичних і професійних норм, </w:t>
      </w:r>
      <w:proofErr w:type="spellStart"/>
      <w:r w:rsidRPr="004229C1">
        <w:rPr>
          <w:rFonts w:ascii="Times New Roman" w:hAnsi="Times New Roman" w:cs="Times New Roman"/>
          <w:kern w:val="0"/>
          <w:lang w:val="uk-UA"/>
        </w:rPr>
        <w:t>гнучко</w:t>
      </w:r>
      <w:proofErr w:type="spellEnd"/>
      <w:r w:rsidRPr="004229C1">
        <w:rPr>
          <w:rFonts w:ascii="Times New Roman" w:hAnsi="Times New Roman" w:cs="Times New Roman"/>
          <w:kern w:val="0"/>
          <w:lang w:val="uk-UA"/>
        </w:rPr>
        <w:t xml:space="preserve"> реагуючи на виклики мінливого економічного середовища.</w:t>
      </w:r>
    </w:p>
    <w:p w14:paraId="0459B3E1"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0056693A"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Дивлячись у 2025 рік, ми підтверджуємо нашу прихильність до вдосконалення механізмів фінансового нагляду, розвитку нормативно-правової бази та внеску в економічну стабільність і процвітання України. Наглядова Рада, у тісній співпраці з Правлінням, спрямовує Банк до сталого зростання, дотримання регуляторних вимог і підвищення операційної ефективності навіть у цих складних умовах.</w:t>
      </w:r>
    </w:p>
    <w:p w14:paraId="0E0F892D"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050E322F"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Наступного року ми продовжимо працювати над підвищенням прозорості, зміцненням фінансової стійкості та збереженням довіри наших стейкхолдерів. Разом із Групою Інтеза Санпаоло, ми залишаємося непохитними у своїй місії — розбудові надійної, добре регульованої та перспективної фінансової установи, яка підтримує Україну.</w:t>
      </w:r>
    </w:p>
    <w:p w14:paraId="0CA7E4B7"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1FFDE986"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Дякую за вашу довіру та постійну підтримку ПРАВЕКС БАНКУ. З нетерпінням чекаю на рік нових досягнень і спільного прогресу у 2025 році.</w:t>
      </w:r>
    </w:p>
    <w:p w14:paraId="6AF489AF"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4252DFFB"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Сільвіо </w:t>
      </w:r>
      <w:proofErr w:type="spellStart"/>
      <w:r w:rsidRPr="004229C1">
        <w:rPr>
          <w:rFonts w:ascii="Times New Roman" w:hAnsi="Times New Roman" w:cs="Times New Roman"/>
          <w:kern w:val="0"/>
          <w:lang w:val="uk-UA"/>
        </w:rPr>
        <w:t>Педрацці</w:t>
      </w:r>
      <w:proofErr w:type="spellEnd"/>
    </w:p>
    <w:p w14:paraId="61589558"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1E66415D"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i/>
          <w:iCs/>
          <w:kern w:val="0"/>
          <w:lang w:val="uk-UA"/>
        </w:rPr>
      </w:pPr>
      <w:r w:rsidRPr="004229C1">
        <w:rPr>
          <w:rFonts w:ascii="Times New Roman" w:hAnsi="Times New Roman" w:cs="Times New Roman"/>
          <w:i/>
          <w:iCs/>
          <w:kern w:val="0"/>
          <w:lang w:val="uk-UA"/>
        </w:rPr>
        <w:t>2. Звернення до акціонерів/учасників та інших стейкхолдерів від керівника особи</w:t>
      </w:r>
    </w:p>
    <w:p w14:paraId="0A0E7D87" w14:textId="77777777" w:rsidR="0036288B" w:rsidRPr="004229C1" w:rsidRDefault="0036288B">
      <w:pPr>
        <w:widowControl w:val="0"/>
        <w:autoSpaceDE w:val="0"/>
        <w:autoSpaceDN w:val="0"/>
        <w:adjustRightInd w:val="0"/>
        <w:spacing w:after="0" w:line="240" w:lineRule="auto"/>
        <w:jc w:val="both"/>
        <w:rPr>
          <w:rFonts w:ascii="Times New Roman" w:hAnsi="Times New Roman" w:cs="Times New Roman"/>
          <w:i/>
          <w:iCs/>
          <w:kern w:val="0"/>
          <w:lang w:val="uk-UA"/>
        </w:rPr>
      </w:pPr>
    </w:p>
    <w:p w14:paraId="6079897D"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Шановні пані та панове,</w:t>
      </w:r>
    </w:p>
    <w:p w14:paraId="319C663D"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580B063B"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Щиро дякую кожному з вас за довіру, відданість, професіоналізм та участь у важливих ініціативах, що зробили 2024 рік визначним для Банку.</w:t>
      </w:r>
    </w:p>
    <w:p w14:paraId="39FAD7A1"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672F1F4A"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Незважаючи на виклики повномасштабної тривалої війни, Банк продовжував працювати як універсальна банківська установа, з фокусом на покращення ефективності діяльності, забезпечення безперервності роботи бізнесу, нарощування </w:t>
      </w:r>
      <w:proofErr w:type="spellStart"/>
      <w:r w:rsidRPr="004229C1">
        <w:rPr>
          <w:rFonts w:ascii="Times New Roman" w:hAnsi="Times New Roman" w:cs="Times New Roman"/>
          <w:kern w:val="0"/>
          <w:lang w:val="uk-UA"/>
        </w:rPr>
        <w:t>транзакційного</w:t>
      </w:r>
      <w:proofErr w:type="spellEnd"/>
      <w:r w:rsidRPr="004229C1">
        <w:rPr>
          <w:rFonts w:ascii="Times New Roman" w:hAnsi="Times New Roman" w:cs="Times New Roman"/>
          <w:kern w:val="0"/>
          <w:lang w:val="uk-UA"/>
        </w:rPr>
        <w:t xml:space="preserve"> бізнесу та розвиток </w:t>
      </w:r>
      <w:proofErr w:type="spellStart"/>
      <w:r w:rsidRPr="004229C1">
        <w:rPr>
          <w:rFonts w:ascii="Times New Roman" w:hAnsi="Times New Roman" w:cs="Times New Roman"/>
          <w:kern w:val="0"/>
          <w:lang w:val="uk-UA"/>
        </w:rPr>
        <w:t>діджитальних</w:t>
      </w:r>
      <w:proofErr w:type="spellEnd"/>
      <w:r w:rsidRPr="004229C1">
        <w:rPr>
          <w:rFonts w:ascii="Times New Roman" w:hAnsi="Times New Roman" w:cs="Times New Roman"/>
          <w:kern w:val="0"/>
          <w:lang w:val="uk-UA"/>
        </w:rPr>
        <w:t xml:space="preserve"> каналів. ПРАВЕКС БАНК інвестував у забезпечення безперервності діяльності бізнесу та обладнав значну частину відділень мережі Банку гібридним енергозберігаючим устаткуванням, слідуючи рекомендаціям регулятора та з метою посилення національної мережі </w:t>
      </w:r>
      <w:proofErr w:type="spellStart"/>
      <w:r w:rsidRPr="004229C1">
        <w:rPr>
          <w:rFonts w:ascii="Times New Roman" w:hAnsi="Times New Roman" w:cs="Times New Roman"/>
          <w:kern w:val="0"/>
          <w:lang w:val="uk-UA"/>
        </w:rPr>
        <w:t>Power</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banking</w:t>
      </w:r>
      <w:proofErr w:type="spellEnd"/>
      <w:r w:rsidRPr="004229C1">
        <w:rPr>
          <w:rFonts w:ascii="Times New Roman" w:hAnsi="Times New Roman" w:cs="Times New Roman"/>
          <w:kern w:val="0"/>
          <w:lang w:val="uk-UA"/>
        </w:rPr>
        <w:t xml:space="preserve">. Задля підтримки енергетичного сектору країни та забезпечення енергонезалежності бізнесу та домогосподарств, Банк розробив та впровадив вигідні програми щодо кредитування сфери енергетики.. Важливу роль в утриманні та залученні нових клієнтів відігравав подальший розвиток онлайн-сервісів, особливо для бізнес-клієнтів. Це допомогло нам зберігати високий рівень обслуговування і задоволення клієнтів Банку. Банк суттєво наростив роздрібний портфель гривневих депозитів (+29% (відповідно до даних управлінського обліку)), збільшено комісійний дохід як в роздрібному, так і в корпоративному сегментах. Банк продовжив помірне кредитування як фізичних, так і юридичних осіб як елемент підтримки економіки країни, притому показники якості кредитного портфеля залишилися на стабільно високому рівні. </w:t>
      </w:r>
    </w:p>
    <w:p w14:paraId="15D057FD"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74CC5348"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У 2024 році наш Банк здобув престижні нагороди в галузі фінансів та ESG, що є свідченням нашого лідерства та надійності навіть у складному економічному середовищі. Особливо важливою є нагорода в конкурсі Глобального договору ООН в Україні — «Партнерство заради сталого розвитку-2024» за проєкт «Амбасадори фінансової грамотності». Участь у цьому проєкті допомагає дітям, підліткам і студентам розвивати фінансову освіту та ухвалювати відповідальні фінансові рішення, що є важливим внеском у майбутнє нашої країни.</w:t>
      </w:r>
    </w:p>
    <w:p w14:paraId="5DA3F135"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7569686D"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Окремо хочу відзначити активну участь Банку у Корпоративному Дні Донора. Цей проєкт став не лише системним, але й особливим для кожного з нас. За два роки понад 180 співробітників Банку стали донорами, передавши понад 90 літрів крові. Ця ініціатива є прикладом нашої турботи про суспільство та внеском у порятунок життів.</w:t>
      </w:r>
    </w:p>
    <w:p w14:paraId="67D80632"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65729BE1"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 2024 році ми відзначили 32-річчя ПРАВЕКС БАНК. Дякую колегам, які разом з Банком йдуть шляхом розвитку та інновацій і щодня обслуговують наших клієнтів і партнерів у різних містах України. Ви — рушійна сила, що допомагає Банку ставати сильнішим, успішнішим і ближчим до кожного клієнта. </w:t>
      </w:r>
    </w:p>
    <w:p w14:paraId="78D30045"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51BE48BB"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Разом ми створюємо майбутнє, в якому ПРАВЕКС БАНК залишається надійним партнером для клієнтів і відповідальною компанією для суспільства. Пишаюся працювати з вами та дякую кожному за спільну працю над досягненням важливої для всіх мети — перемоги заради миру та процвітання.</w:t>
      </w:r>
    </w:p>
    <w:p w14:paraId="5A24AB84" w14:textId="77777777"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
    <w:p w14:paraId="0BF91CE8" w14:textId="2BCC5D51" w:rsidR="0037515F" w:rsidRPr="004229C1" w:rsidRDefault="0037515F" w:rsidP="0037515F">
      <w:pPr>
        <w:widowControl w:val="0"/>
        <w:autoSpaceDE w:val="0"/>
        <w:autoSpaceDN w:val="0"/>
        <w:adjustRightInd w:val="0"/>
        <w:spacing w:after="0" w:line="240" w:lineRule="auto"/>
        <w:jc w:val="both"/>
        <w:rPr>
          <w:rFonts w:ascii="Times New Roman" w:hAnsi="Times New Roman" w:cs="Times New Roman"/>
          <w:kern w:val="0"/>
          <w:lang w:val="uk-UA"/>
        </w:rPr>
      </w:pPr>
      <w:proofErr w:type="spellStart"/>
      <w:r w:rsidRPr="004229C1">
        <w:rPr>
          <w:rFonts w:ascii="Times New Roman" w:hAnsi="Times New Roman" w:cs="Times New Roman"/>
          <w:kern w:val="0"/>
          <w:lang w:val="uk-UA"/>
        </w:rPr>
        <w:t>Джанлука</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Корріас</w:t>
      </w:r>
      <w:proofErr w:type="spellEnd"/>
    </w:p>
    <w:p w14:paraId="7B520438"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1478D999"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i/>
          <w:iCs/>
          <w:kern w:val="0"/>
          <w:lang w:val="uk-UA"/>
        </w:rPr>
      </w:pPr>
      <w:r w:rsidRPr="004229C1">
        <w:rPr>
          <w:rFonts w:ascii="Times New Roman" w:hAnsi="Times New Roman" w:cs="Times New Roman"/>
          <w:i/>
          <w:iCs/>
          <w:kern w:val="0"/>
          <w:lang w:val="uk-UA"/>
        </w:rPr>
        <w:t>3. Інформація про розвиток та вірогідні перспективи подальшого розвитку особи</w:t>
      </w:r>
    </w:p>
    <w:p w14:paraId="0E456291" w14:textId="77777777" w:rsidR="0036288B" w:rsidRPr="004229C1" w:rsidRDefault="0036288B">
      <w:pPr>
        <w:widowControl w:val="0"/>
        <w:autoSpaceDE w:val="0"/>
        <w:autoSpaceDN w:val="0"/>
        <w:adjustRightInd w:val="0"/>
        <w:spacing w:after="0" w:line="240" w:lineRule="auto"/>
        <w:jc w:val="both"/>
        <w:rPr>
          <w:rFonts w:ascii="Times New Roman" w:hAnsi="Times New Roman" w:cs="Times New Roman"/>
          <w:i/>
          <w:iCs/>
          <w:kern w:val="0"/>
          <w:lang w:val="uk-UA"/>
        </w:rPr>
      </w:pPr>
    </w:p>
    <w:p w14:paraId="4D8DA310"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 xml:space="preserve">Опис </w:t>
      </w:r>
      <w:proofErr w:type="spellStart"/>
      <w:r w:rsidRPr="004229C1">
        <w:rPr>
          <w:rFonts w:ascii="Times New Roman" w:hAnsi="Times New Roman" w:cs="Times New Roman"/>
          <w:kern w:val="0"/>
          <w:u w:val="single"/>
          <w:lang w:val="uk-UA"/>
        </w:rPr>
        <w:t>зовнiшнього</w:t>
      </w:r>
      <w:proofErr w:type="spellEnd"/>
      <w:r w:rsidRPr="004229C1">
        <w:rPr>
          <w:rFonts w:ascii="Times New Roman" w:hAnsi="Times New Roman" w:cs="Times New Roman"/>
          <w:kern w:val="0"/>
          <w:u w:val="single"/>
          <w:lang w:val="uk-UA"/>
        </w:rPr>
        <w:t xml:space="preserve"> середовища, в якому </w:t>
      </w:r>
      <w:proofErr w:type="spellStart"/>
      <w:r w:rsidRPr="004229C1">
        <w:rPr>
          <w:rFonts w:ascii="Times New Roman" w:hAnsi="Times New Roman" w:cs="Times New Roman"/>
          <w:kern w:val="0"/>
          <w:u w:val="single"/>
          <w:lang w:val="uk-UA"/>
        </w:rPr>
        <w:t>здiйснює</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дiяльнiсть</w:t>
      </w:r>
      <w:proofErr w:type="spellEnd"/>
      <w:r w:rsidRPr="004229C1">
        <w:rPr>
          <w:rFonts w:ascii="Times New Roman" w:hAnsi="Times New Roman" w:cs="Times New Roman"/>
          <w:kern w:val="0"/>
          <w:u w:val="single"/>
          <w:lang w:val="uk-UA"/>
        </w:rPr>
        <w:t xml:space="preserve"> Банк.</w:t>
      </w:r>
    </w:p>
    <w:p w14:paraId="5A3C8740"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Діяльність Банку здійснюється в Україні, економіка якої відноситься до категорії країн, що розвивається.</w:t>
      </w:r>
    </w:p>
    <w:p w14:paraId="5F1D86CD"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 2024 році зберігалося відновлення економіки України, яке забезпечував стійкий внутрішній споживчий попит. Економічному зростанню також сприяли значні державні капітальні видатки, зокрема в оборонно-промисловому комплексі, та нарощення експорту і зв’язку із стабільною роботою морських портів і розширенням виробництва в металургії та добувній промисловості. </w:t>
      </w:r>
    </w:p>
    <w:p w14:paraId="0AC95D8A"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Україна адаптується до загроз та інвестує в зміцнення своєї обороноздатності, що відображається у зростанні внутрішнього виробництва продукції військового призначення. </w:t>
      </w:r>
    </w:p>
    <w:p w14:paraId="6A161C4C"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Енергетичний терор російської федерації стримував діяльність підприємств у IV кварталі 2024 року, однак не спинив приросту обсягів їхнього виробництва та доходів. Відновлення економіки триває попри руйнування енергетики. Хоча дефіцит державного бюджету, дефіцит рахунку поточних операцій платіжного балансу (без урахування грантів) та державний і валовий зовнішній борг залишаються на високих рівнях. Значний дефіцит зовнішньої торгівлі зберігається через стійке посилення імпортного попиту і повільне відновлення експортних </w:t>
      </w:r>
      <w:proofErr w:type="spellStart"/>
      <w:r w:rsidRPr="004229C1">
        <w:rPr>
          <w:rFonts w:ascii="Times New Roman" w:hAnsi="Times New Roman" w:cs="Times New Roman"/>
          <w:kern w:val="0"/>
          <w:lang w:val="uk-UA"/>
        </w:rPr>
        <w:t>потужностей</w:t>
      </w:r>
      <w:proofErr w:type="spellEnd"/>
      <w:r w:rsidRPr="004229C1">
        <w:rPr>
          <w:rFonts w:ascii="Times New Roman" w:hAnsi="Times New Roman" w:cs="Times New Roman"/>
          <w:kern w:val="0"/>
          <w:lang w:val="uk-UA"/>
        </w:rPr>
        <w:t>.</w:t>
      </w:r>
    </w:p>
    <w:p w14:paraId="6D486D0B"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Міжнародна підтримка України залишається значною. У 2024 році до державного бюджету надійшло 41,7 млрд доларів США зовнішнього фінансування. Грантові кошти, які надаються на безповоротних умовах, склали близько 12,6 млрд доларів США. Водночас, усі позики Україна отримувала на пільгових умовах. Важливим досягненням є залучення у 2024 році першого траншу коштів, що будуть забезпечені майбутніми доходами від заморожених активів російської федерації.</w:t>
      </w:r>
    </w:p>
    <w:p w14:paraId="0E8C2C3F"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Стабільна робота морського коридору послабила логістичні обмеження та сприяла нарощенню експорту. Однак, через тривалу війну зростання експортного потенціалу дуже повільне.</w:t>
      </w:r>
    </w:p>
    <w:p w14:paraId="328A1A12"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За оцінками НБУ, у 2024 році реальний ВВП України зріс на 3.4%. Темпи економічного зростання сповільнилися й порівняно з 2023 роком. Це пояснюється гіршими врожаями, дещо слабшим зовнішнім попитом, реалізацією ризиків збільшення інтенсивності бойових дій, посиленням повітряних атак </w:t>
      </w:r>
      <w:proofErr w:type="spellStart"/>
      <w:r w:rsidRPr="004229C1">
        <w:rPr>
          <w:rFonts w:ascii="Times New Roman" w:hAnsi="Times New Roman" w:cs="Times New Roman"/>
          <w:kern w:val="0"/>
          <w:lang w:val="uk-UA"/>
        </w:rPr>
        <w:t>рф</w:t>
      </w:r>
      <w:proofErr w:type="spellEnd"/>
      <w:r w:rsidRPr="004229C1">
        <w:rPr>
          <w:rFonts w:ascii="Times New Roman" w:hAnsi="Times New Roman" w:cs="Times New Roman"/>
          <w:kern w:val="0"/>
          <w:lang w:val="uk-UA"/>
        </w:rPr>
        <w:t xml:space="preserve"> та пов’язаним із цим дефіцитом електроенергії.</w:t>
      </w:r>
    </w:p>
    <w:p w14:paraId="7716EC51"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Доходи населення зростають завдяки подальшому підвищенню зарплат на підприємствах. Зростання реальних доходів дещо стримується пришвидшенням інфляції. Значні регіональні та кваліфікаційні </w:t>
      </w:r>
      <w:proofErr w:type="spellStart"/>
      <w:r w:rsidRPr="004229C1">
        <w:rPr>
          <w:rFonts w:ascii="Times New Roman" w:hAnsi="Times New Roman" w:cs="Times New Roman"/>
          <w:kern w:val="0"/>
          <w:lang w:val="uk-UA"/>
        </w:rPr>
        <w:t>дисбаланси</w:t>
      </w:r>
      <w:proofErr w:type="spellEnd"/>
      <w:r w:rsidRPr="004229C1">
        <w:rPr>
          <w:rFonts w:ascii="Times New Roman" w:hAnsi="Times New Roman" w:cs="Times New Roman"/>
          <w:kern w:val="0"/>
          <w:lang w:val="uk-UA"/>
        </w:rPr>
        <w:t xml:space="preserve"> на ринку праці зберігаються, проте безробіття поступово скорочується. Потреба в працівниках зростає в міру пожвавлення економіки. Водночас пропозиція робочої сили не повністю задовольняє потреби бізнесу.</w:t>
      </w:r>
    </w:p>
    <w:p w14:paraId="4574E014"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Темпи зростання споживчих цін упродовж I кварталу 2024 року стрімко сповільнювалися – з 5.1% до 3.2% р/р у березні, завдяки ефектам від послідовної монетарної політики, а саме контрольованої ситуації на валютному ринку, збільшенню пропозиції на окремі продукти харчування, меншому тиску з боку витрат на сировину та енергію. У ІІ кварталі 2024 року інфляція очікувано підвищилася та наблизилася до 5%, що було обумовлено значним тиском з боку витрат бізнесу в умовах дефіциту електроенергії та браку працівників, ефектом перегляду адміністративних тарифів та акцизних податків і негативним впливом літньої посухи на цьогорічну врожайність. Починаючи з ІІІ кварталу 2024 року та упродовж останніх місяців року споживча інфляція пришвидшувалася і на кінець 2024 року становила 12.0% р/р. </w:t>
      </w:r>
    </w:p>
    <w:p w14:paraId="2FC53476"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Міжнародні резерви України протягом 2024 року зросли на 8% або до 43,8 мільярдів доларів США завдяки надходженням фінансової підтримки від партнерів.</w:t>
      </w:r>
    </w:p>
    <w:p w14:paraId="3B7A5A80"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У 2024 році внесок банків у підтримку економічного зростання країни збільшився. Банки зберігають високі показники ліквідності. Наявний запас високоліквідних активів та стабільний приплив </w:t>
      </w:r>
      <w:proofErr w:type="spellStart"/>
      <w:r w:rsidRPr="004229C1">
        <w:rPr>
          <w:rFonts w:ascii="Times New Roman" w:hAnsi="Times New Roman" w:cs="Times New Roman"/>
          <w:kern w:val="0"/>
          <w:lang w:val="uk-UA"/>
        </w:rPr>
        <w:t>фондування</w:t>
      </w:r>
      <w:proofErr w:type="spellEnd"/>
      <w:r w:rsidRPr="004229C1">
        <w:rPr>
          <w:rFonts w:ascii="Times New Roman" w:hAnsi="Times New Roman" w:cs="Times New Roman"/>
          <w:kern w:val="0"/>
          <w:lang w:val="uk-UA"/>
        </w:rPr>
        <w:t xml:space="preserve"> від клієнтів забезпечують банкам нарощування кредитного портфеля та інвестицій в ОВДП для фінансування бюджету. </w:t>
      </w:r>
    </w:p>
    <w:p w14:paraId="5FEEACDA"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Банківська система успішно перейшли на нову структуру капіталу та зберегла майже подвійний запас нормативів достатності капіталу понад мінімальні вимоги.</w:t>
      </w:r>
    </w:p>
    <w:p w14:paraId="626A048E"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Із жовтня вимоги до обов’язкових резервів зросли на 5 в. п. для всіх видів </w:t>
      </w:r>
      <w:proofErr w:type="spellStart"/>
      <w:r w:rsidRPr="004229C1">
        <w:rPr>
          <w:rFonts w:ascii="Times New Roman" w:hAnsi="Times New Roman" w:cs="Times New Roman"/>
          <w:kern w:val="0"/>
          <w:lang w:val="uk-UA"/>
        </w:rPr>
        <w:t>фондування</w:t>
      </w:r>
      <w:proofErr w:type="spellEnd"/>
      <w:r w:rsidRPr="004229C1">
        <w:rPr>
          <w:rFonts w:ascii="Times New Roman" w:hAnsi="Times New Roman" w:cs="Times New Roman"/>
          <w:kern w:val="0"/>
          <w:lang w:val="uk-UA"/>
        </w:rPr>
        <w:t>, крім гривневих депозитів населення строком понад три місяці, для яких резервні вимоги залишаються нульовими.</w:t>
      </w:r>
    </w:p>
    <w:p w14:paraId="183DA1DE"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Кошти клієнтів залишаються основним джерелом </w:t>
      </w:r>
      <w:proofErr w:type="spellStart"/>
      <w:r w:rsidRPr="004229C1">
        <w:rPr>
          <w:rFonts w:ascii="Times New Roman" w:hAnsi="Times New Roman" w:cs="Times New Roman"/>
          <w:kern w:val="0"/>
          <w:lang w:val="uk-UA"/>
        </w:rPr>
        <w:t>фондування</w:t>
      </w:r>
      <w:proofErr w:type="spellEnd"/>
      <w:r w:rsidRPr="004229C1">
        <w:rPr>
          <w:rFonts w:ascii="Times New Roman" w:hAnsi="Times New Roman" w:cs="Times New Roman"/>
          <w:kern w:val="0"/>
          <w:lang w:val="uk-UA"/>
        </w:rPr>
        <w:t xml:space="preserve"> банків – вони становили 92% зобов’язань станом на кінець листопада 2024 року. У другому півріччі приріст гривневих коштів клієнтів тривав, хоч і помітно сповільнився. </w:t>
      </w:r>
    </w:p>
    <w:p w14:paraId="0F7772CE"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Чисті гривневі кредити бізнесу зросли на 22%, забезпечуючи фінансування ключових секторів економіки. Найбільшими отримувачами позик були галузі сільського господарства і торгівлі, які разом створюють близько чверті ВВП. Кредитування в іноземній валюті й надалі не користується попитом. Тож валютний кредитний портфель скорочується, незважаючи на валютний ефект його переоцінки через послаблення курсу гривні протягом року. З початку повномасштабного вторгнення обсяг валютних кредитів зменшився на третину.</w:t>
      </w:r>
    </w:p>
    <w:p w14:paraId="747C024E"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З огляду на хорошу якість кредитного портфеля та поодинокі події дефолту банки майже не мають потреб у збільшенні резервів.</w:t>
      </w:r>
    </w:p>
    <w:p w14:paraId="54715063"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Банківська система зберігала високу рентабельність, незважаючи на повторне підвищене оподаткування прибутку. Основою прибутковості залишається висока чиста процентна маржа, яку банки зберегли, попри тривалий цикл зниження процентних ставок. Висока процентна маржа, зростання комісійних та торгових доходів компенсують значне зростання операційних витрат без погіршення показників операційної ефективності. Так, банківська система продовжує генерувати прибуток і за 2024 рік він складав 103,7 млрд. грн. </w:t>
      </w:r>
    </w:p>
    <w:p w14:paraId="1A25CF18"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 початку 2024 року, міжнародні рейтингові агентства підтвердили та переглянули рейтинг України у зв’язку із тривалою війною з </w:t>
      </w:r>
      <w:proofErr w:type="spellStart"/>
      <w:r w:rsidRPr="004229C1">
        <w:rPr>
          <w:rFonts w:ascii="Times New Roman" w:hAnsi="Times New Roman" w:cs="Times New Roman"/>
          <w:kern w:val="0"/>
          <w:lang w:val="uk-UA"/>
        </w:rPr>
        <w:t>росією</w:t>
      </w:r>
      <w:proofErr w:type="spellEnd"/>
      <w:r w:rsidRPr="004229C1">
        <w:rPr>
          <w:rFonts w:ascii="Times New Roman" w:hAnsi="Times New Roman" w:cs="Times New Roman"/>
          <w:kern w:val="0"/>
          <w:lang w:val="uk-UA"/>
        </w:rPr>
        <w:t xml:space="preserve"> на наступних рівнях:</w:t>
      </w:r>
    </w:p>
    <w:p w14:paraId="37867920" w14:textId="77777777" w:rsidR="00F60744" w:rsidRPr="004229C1" w:rsidRDefault="00F60744" w:rsidP="002B4288">
      <w:pPr>
        <w:pStyle w:val="ListParagraph"/>
        <w:widowControl w:val="0"/>
        <w:numPr>
          <w:ilvl w:val="0"/>
          <w:numId w:val="49"/>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06 грудня 2024 року </w:t>
      </w:r>
      <w:proofErr w:type="spellStart"/>
      <w:r w:rsidRPr="004229C1">
        <w:rPr>
          <w:rFonts w:ascii="Times New Roman" w:hAnsi="Times New Roman" w:cs="Times New Roman"/>
          <w:kern w:val="0"/>
          <w:lang w:val="uk-UA"/>
        </w:rPr>
        <w:t>Fitch</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Ratings</w:t>
      </w:r>
      <w:proofErr w:type="spellEnd"/>
      <w:r w:rsidRPr="004229C1">
        <w:rPr>
          <w:rFonts w:ascii="Times New Roman" w:hAnsi="Times New Roman" w:cs="Times New Roman"/>
          <w:kern w:val="0"/>
          <w:lang w:val="uk-UA"/>
        </w:rPr>
        <w:t xml:space="preserve"> підтвердило довгостроковий рейтинг дефолту емітента України в іноземній валюті на рівні «Обмежений дефолт» (RD). </w:t>
      </w:r>
      <w:proofErr w:type="spellStart"/>
      <w:r w:rsidRPr="004229C1">
        <w:rPr>
          <w:rFonts w:ascii="Times New Roman" w:hAnsi="Times New Roman" w:cs="Times New Roman"/>
          <w:kern w:val="0"/>
          <w:lang w:val="uk-UA"/>
        </w:rPr>
        <w:t>Fitch</w:t>
      </w:r>
      <w:proofErr w:type="spellEnd"/>
      <w:r w:rsidRPr="004229C1">
        <w:rPr>
          <w:rFonts w:ascii="Times New Roman" w:hAnsi="Times New Roman" w:cs="Times New Roman"/>
          <w:kern w:val="0"/>
          <w:lang w:val="uk-UA"/>
        </w:rPr>
        <w:t xml:space="preserve"> зазвичай не присвоює прогнози суверенним рейтингам з рейтингом «ССС+» або нижче. Посилаючись на очікування, що Україна продовжує процес реструктуризації зовнішнього комерційного боргу, проте після успішного завершення обміну єврооблігацій у вересні 2024 року уряд розпорядився тимчасово призупинити виплати за зовнішньою комерційною позикою, гарантованими державою єврооблігаціями Укренерго та гарантіями ВВП.</w:t>
      </w:r>
    </w:p>
    <w:p w14:paraId="3CE19D50" w14:textId="77777777" w:rsidR="00F60744" w:rsidRPr="004229C1" w:rsidRDefault="00F60744" w:rsidP="002B4288">
      <w:pPr>
        <w:pStyle w:val="ListParagraph"/>
        <w:widowControl w:val="0"/>
        <w:numPr>
          <w:ilvl w:val="0"/>
          <w:numId w:val="49"/>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30 серпня 2024 року Standard &amp; </w:t>
      </w:r>
      <w:proofErr w:type="spellStart"/>
      <w:r w:rsidRPr="004229C1">
        <w:rPr>
          <w:rFonts w:ascii="Times New Roman" w:hAnsi="Times New Roman" w:cs="Times New Roman"/>
          <w:kern w:val="0"/>
          <w:lang w:val="uk-UA"/>
        </w:rPr>
        <w:t>Poor’s</w:t>
      </w:r>
      <w:proofErr w:type="spellEnd"/>
      <w:r w:rsidRPr="004229C1">
        <w:rPr>
          <w:rFonts w:ascii="Times New Roman" w:hAnsi="Times New Roman" w:cs="Times New Roman"/>
          <w:kern w:val="0"/>
          <w:lang w:val="uk-UA"/>
        </w:rPr>
        <w:t xml:space="preserve"> підтвердило довгострокові та короткострокові суверенні кредитні рейтинги України в іноземній валюті на рівні «SD/SD» (вибірковий дефолт) та довгострокові та короткострокові суверенні кредитні рейтинги в національній валюті на рівні «CCC+/C». Прогноз по довгостроковому рейтингу в національній валюті залишається стабільним. В той же час знизило з рівня «СС» до «D» (дефолт) рейтинги випусків деяких єврооблігацій. Посилаючись на очікування щодо подальшої реструктуризації боргу, в </w:t>
      </w:r>
      <w:proofErr w:type="spellStart"/>
      <w:r w:rsidRPr="004229C1">
        <w:rPr>
          <w:rFonts w:ascii="Times New Roman" w:hAnsi="Times New Roman" w:cs="Times New Roman"/>
          <w:kern w:val="0"/>
          <w:lang w:val="uk-UA"/>
        </w:rPr>
        <w:t>т.ч</w:t>
      </w:r>
      <w:proofErr w:type="spellEnd"/>
      <w:r w:rsidRPr="004229C1">
        <w:rPr>
          <w:rFonts w:ascii="Times New Roman" w:hAnsi="Times New Roman" w:cs="Times New Roman"/>
          <w:kern w:val="0"/>
          <w:lang w:val="uk-UA"/>
        </w:rPr>
        <w:t xml:space="preserve">. цінних паперів з рейтингом, прив'язаним до ВВП. </w:t>
      </w:r>
    </w:p>
    <w:p w14:paraId="365CD3FD" w14:textId="77777777" w:rsidR="00F60744" w:rsidRPr="004229C1" w:rsidRDefault="00F60744" w:rsidP="002B4288">
      <w:pPr>
        <w:pStyle w:val="ListParagraph"/>
        <w:widowControl w:val="0"/>
        <w:numPr>
          <w:ilvl w:val="0"/>
          <w:numId w:val="49"/>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23 січня 2024 року </w:t>
      </w:r>
      <w:proofErr w:type="spellStart"/>
      <w:r w:rsidRPr="004229C1">
        <w:rPr>
          <w:rFonts w:ascii="Times New Roman" w:hAnsi="Times New Roman" w:cs="Times New Roman"/>
          <w:kern w:val="0"/>
          <w:lang w:val="uk-UA"/>
        </w:rPr>
        <w:t>Rating</w:t>
      </w:r>
      <w:proofErr w:type="spellEnd"/>
      <w:r w:rsidRPr="004229C1">
        <w:rPr>
          <w:rFonts w:ascii="Times New Roman" w:hAnsi="Times New Roman" w:cs="Times New Roman"/>
          <w:kern w:val="0"/>
          <w:lang w:val="uk-UA"/>
        </w:rPr>
        <w:t xml:space="preserve"> and </w:t>
      </w:r>
      <w:proofErr w:type="spellStart"/>
      <w:r w:rsidRPr="004229C1">
        <w:rPr>
          <w:rFonts w:ascii="Times New Roman" w:hAnsi="Times New Roman" w:cs="Times New Roman"/>
          <w:kern w:val="0"/>
          <w:lang w:val="uk-UA"/>
        </w:rPr>
        <w:t>Investment</w:t>
      </w:r>
      <w:proofErr w:type="spellEnd"/>
      <w:r w:rsidRPr="004229C1">
        <w:rPr>
          <w:rFonts w:ascii="Times New Roman" w:hAnsi="Times New Roman" w:cs="Times New Roman"/>
          <w:kern w:val="0"/>
          <w:lang w:val="uk-UA"/>
        </w:rPr>
        <w:t xml:space="preserve"> </w:t>
      </w:r>
      <w:proofErr w:type="spellStart"/>
      <w:r w:rsidRPr="004229C1">
        <w:rPr>
          <w:rFonts w:ascii="Times New Roman" w:hAnsi="Times New Roman" w:cs="Times New Roman"/>
          <w:kern w:val="0"/>
          <w:lang w:val="uk-UA"/>
        </w:rPr>
        <w:t>Information</w:t>
      </w:r>
      <w:proofErr w:type="spellEnd"/>
      <w:r w:rsidRPr="004229C1">
        <w:rPr>
          <w:rFonts w:ascii="Times New Roman" w:hAnsi="Times New Roman" w:cs="Times New Roman"/>
          <w:kern w:val="0"/>
          <w:lang w:val="uk-UA"/>
        </w:rPr>
        <w:t xml:space="preserve"> підтвердило довгостроковий суверенний рейтинг Україні в іноземній валюті на рівні «ССС» з прогнозом можливого зниження.</w:t>
      </w:r>
    </w:p>
    <w:p w14:paraId="4A01C55E" w14:textId="223D6728" w:rsidR="007469BF" w:rsidRPr="004229C1" w:rsidRDefault="00F60744" w:rsidP="002B4288">
      <w:pPr>
        <w:pStyle w:val="ListParagraph"/>
        <w:widowControl w:val="0"/>
        <w:numPr>
          <w:ilvl w:val="0"/>
          <w:numId w:val="49"/>
        </w:numPr>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Війна, що триває 3 роки, призвела до значних людських жертв, суттєвого переміщення населення, пошкодження інфраструктури, відключень електроенергії та значного порушення економічної діяльності в Україні в цілому. Це мало також негативний і тривалий вплив на політичне та бізнес-середовище в Україні, а саме через зростання інфляції, девальвації гривні, збільшення податкового навантаження, руйнування енергетичної інфраструктури, зростання тарифів, низький рівень відновлення ринку праці, суттєві зміни в монетарній політиці НБУ та на здатність багатьох суб'єктів господарювання продовжувати свою діяльність у звичайному режимі.</w:t>
      </w:r>
    </w:p>
    <w:p w14:paraId="47E942DF"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p>
    <w:p w14:paraId="40FD8988"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u w:val="single"/>
          <w:lang w:val="uk-UA"/>
        </w:rPr>
      </w:pPr>
      <w:proofErr w:type="spellStart"/>
      <w:r w:rsidRPr="004229C1">
        <w:rPr>
          <w:rFonts w:ascii="Times New Roman" w:hAnsi="Times New Roman" w:cs="Times New Roman"/>
          <w:kern w:val="0"/>
          <w:u w:val="single"/>
          <w:lang w:val="uk-UA"/>
        </w:rPr>
        <w:t>Аналiз</w:t>
      </w:r>
      <w:proofErr w:type="spellEnd"/>
      <w:r w:rsidRPr="004229C1">
        <w:rPr>
          <w:rFonts w:ascii="Times New Roman" w:hAnsi="Times New Roman" w:cs="Times New Roman"/>
          <w:kern w:val="0"/>
          <w:u w:val="single"/>
          <w:lang w:val="uk-UA"/>
        </w:rPr>
        <w:t xml:space="preserve"> значних </w:t>
      </w:r>
      <w:proofErr w:type="spellStart"/>
      <w:r w:rsidRPr="004229C1">
        <w:rPr>
          <w:rFonts w:ascii="Times New Roman" w:hAnsi="Times New Roman" w:cs="Times New Roman"/>
          <w:kern w:val="0"/>
          <w:u w:val="single"/>
          <w:lang w:val="uk-UA"/>
        </w:rPr>
        <w:t>змiн</w:t>
      </w:r>
      <w:proofErr w:type="spellEnd"/>
      <w:r w:rsidRPr="004229C1">
        <w:rPr>
          <w:rFonts w:ascii="Times New Roman" w:hAnsi="Times New Roman" w:cs="Times New Roman"/>
          <w:kern w:val="0"/>
          <w:u w:val="single"/>
          <w:lang w:val="uk-UA"/>
        </w:rPr>
        <w:t xml:space="preserve"> у </w:t>
      </w:r>
      <w:proofErr w:type="spellStart"/>
      <w:r w:rsidRPr="004229C1">
        <w:rPr>
          <w:rFonts w:ascii="Times New Roman" w:hAnsi="Times New Roman" w:cs="Times New Roman"/>
          <w:kern w:val="0"/>
          <w:u w:val="single"/>
          <w:lang w:val="uk-UA"/>
        </w:rPr>
        <w:t>фiнансовому</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станi</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лiквiдностi</w:t>
      </w:r>
      <w:proofErr w:type="spellEnd"/>
      <w:r w:rsidRPr="004229C1">
        <w:rPr>
          <w:rFonts w:ascii="Times New Roman" w:hAnsi="Times New Roman" w:cs="Times New Roman"/>
          <w:kern w:val="0"/>
          <w:u w:val="single"/>
          <w:lang w:val="uk-UA"/>
        </w:rPr>
        <w:t xml:space="preserve"> та результатах </w:t>
      </w:r>
      <w:proofErr w:type="spellStart"/>
      <w:r w:rsidRPr="004229C1">
        <w:rPr>
          <w:rFonts w:ascii="Times New Roman" w:hAnsi="Times New Roman" w:cs="Times New Roman"/>
          <w:kern w:val="0"/>
          <w:u w:val="single"/>
          <w:lang w:val="uk-UA"/>
        </w:rPr>
        <w:t>дiяльностi</w:t>
      </w:r>
      <w:proofErr w:type="spellEnd"/>
    </w:p>
    <w:p w14:paraId="55B04D87"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У 2024 році Банк суттєво покращив рівень операційного прибутку (збитку) порівняно з 2023 роком за рахунок збільшення операційного доходу (Чистий процентний дохід, чистий комісійний дохід та інші операційні доходи Банку).</w:t>
      </w:r>
    </w:p>
    <w:p w14:paraId="679B0E2E"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Основні зміни у фінансовому стані Банку порівняно з 2023 роком були зумовлені зростанням операційного доходу за рахунок: збільшення середніх обсягів по цінних паперах через зростання залучених коштів від клієнтів та отриманого капіталу; зменшенням вартості залучених ресурсів внаслідок зміни монетарної політики НБУ, що повністю компенсувало зменшення доходу від кредитів через зниження середніх обсягів через обмежене кредитування.</w:t>
      </w:r>
    </w:p>
    <w:p w14:paraId="5945F68F" w14:textId="427BE842" w:rsidR="007469BF"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Показники ліквідності Банку покращились за рахунок збільшення високоякісних ліквідних активів, в тому числі в іноземних валютах, що обумовлено придбанням боргових цінних паперів країн G-7 та розміщенням вільної ліквідності в національній валюті, отриманої від збільшення капіталу Банку, в депозитні сертифікати НБУ та ОВДП.</w:t>
      </w:r>
    </w:p>
    <w:p w14:paraId="158451D4"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p>
    <w:p w14:paraId="6C10C28F"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 xml:space="preserve">Причини </w:t>
      </w:r>
      <w:proofErr w:type="spellStart"/>
      <w:r w:rsidRPr="004229C1">
        <w:rPr>
          <w:rFonts w:ascii="Times New Roman" w:hAnsi="Times New Roman" w:cs="Times New Roman"/>
          <w:kern w:val="0"/>
          <w:u w:val="single"/>
          <w:lang w:val="uk-UA"/>
        </w:rPr>
        <w:t>змiн</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показникiв</w:t>
      </w:r>
      <w:proofErr w:type="spellEnd"/>
      <w:r w:rsidRPr="004229C1">
        <w:rPr>
          <w:rFonts w:ascii="Times New Roman" w:hAnsi="Times New Roman" w:cs="Times New Roman"/>
          <w:kern w:val="0"/>
          <w:u w:val="single"/>
          <w:lang w:val="uk-UA"/>
        </w:rPr>
        <w:t xml:space="preserve"> протягом </w:t>
      </w:r>
      <w:proofErr w:type="spellStart"/>
      <w:r w:rsidRPr="004229C1">
        <w:rPr>
          <w:rFonts w:ascii="Times New Roman" w:hAnsi="Times New Roman" w:cs="Times New Roman"/>
          <w:kern w:val="0"/>
          <w:u w:val="single"/>
          <w:lang w:val="uk-UA"/>
        </w:rPr>
        <w:t>звiтного</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перiоду</w:t>
      </w:r>
      <w:proofErr w:type="spellEnd"/>
    </w:p>
    <w:p w14:paraId="06A1B0A5" w14:textId="70AD7661" w:rsidR="007469BF" w:rsidRPr="004229C1" w:rsidRDefault="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Протягом звітного 2024 року більшість показників діяльності Банку покращилась за рахунок впровадження низки заходів щодо розширення можливостей інвестування в фінансові інструменти , в тому числі з фокусом на збільшення </w:t>
      </w:r>
      <w:proofErr w:type="spellStart"/>
      <w:r w:rsidRPr="004229C1">
        <w:rPr>
          <w:rFonts w:ascii="Times New Roman" w:hAnsi="Times New Roman" w:cs="Times New Roman"/>
          <w:kern w:val="0"/>
          <w:lang w:val="uk-UA"/>
        </w:rPr>
        <w:t>маржинальності</w:t>
      </w:r>
      <w:proofErr w:type="spellEnd"/>
      <w:r w:rsidRPr="004229C1">
        <w:rPr>
          <w:rFonts w:ascii="Times New Roman" w:hAnsi="Times New Roman" w:cs="Times New Roman"/>
          <w:kern w:val="0"/>
          <w:lang w:val="uk-UA"/>
        </w:rPr>
        <w:t xml:space="preserve"> продуктів, що забезпечило нарощування стабільної ресурсної бази, високого рівня ліквідності і зростання </w:t>
      </w:r>
      <w:proofErr w:type="spellStart"/>
      <w:r w:rsidRPr="004229C1">
        <w:rPr>
          <w:rFonts w:ascii="Times New Roman" w:hAnsi="Times New Roman" w:cs="Times New Roman"/>
          <w:kern w:val="0"/>
          <w:lang w:val="uk-UA"/>
        </w:rPr>
        <w:t>безризикового</w:t>
      </w:r>
      <w:proofErr w:type="spellEnd"/>
      <w:r w:rsidRPr="004229C1">
        <w:rPr>
          <w:rFonts w:ascii="Times New Roman" w:hAnsi="Times New Roman" w:cs="Times New Roman"/>
          <w:kern w:val="0"/>
          <w:lang w:val="uk-UA"/>
        </w:rPr>
        <w:t xml:space="preserve"> процентного доходу.</w:t>
      </w:r>
    </w:p>
    <w:p w14:paraId="19DE8D2B" w14:textId="77777777" w:rsidR="00F60744" w:rsidRPr="004229C1" w:rsidRDefault="00F60744">
      <w:pPr>
        <w:widowControl w:val="0"/>
        <w:autoSpaceDE w:val="0"/>
        <w:autoSpaceDN w:val="0"/>
        <w:adjustRightInd w:val="0"/>
        <w:spacing w:after="0" w:line="240" w:lineRule="auto"/>
        <w:jc w:val="both"/>
        <w:rPr>
          <w:rFonts w:ascii="Times New Roman" w:hAnsi="Times New Roman" w:cs="Times New Roman"/>
          <w:kern w:val="0"/>
          <w:lang w:val="uk-UA"/>
        </w:rPr>
      </w:pPr>
    </w:p>
    <w:p w14:paraId="04025627"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u w:val="single"/>
          <w:lang w:val="uk-UA"/>
        </w:rPr>
      </w:pPr>
      <w:proofErr w:type="spellStart"/>
      <w:r w:rsidRPr="004229C1">
        <w:rPr>
          <w:rFonts w:ascii="Times New Roman" w:hAnsi="Times New Roman" w:cs="Times New Roman"/>
          <w:kern w:val="0"/>
          <w:u w:val="single"/>
          <w:lang w:val="uk-UA"/>
        </w:rPr>
        <w:t>Намiр</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реалiзацiї</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стратегiї</w:t>
      </w:r>
      <w:proofErr w:type="spellEnd"/>
      <w:r w:rsidRPr="004229C1">
        <w:rPr>
          <w:rFonts w:ascii="Times New Roman" w:hAnsi="Times New Roman" w:cs="Times New Roman"/>
          <w:kern w:val="0"/>
          <w:u w:val="single"/>
          <w:lang w:val="uk-UA"/>
        </w:rPr>
        <w:t xml:space="preserve"> банку в </w:t>
      </w:r>
      <w:proofErr w:type="spellStart"/>
      <w:r w:rsidRPr="004229C1">
        <w:rPr>
          <w:rFonts w:ascii="Times New Roman" w:hAnsi="Times New Roman" w:cs="Times New Roman"/>
          <w:kern w:val="0"/>
          <w:u w:val="single"/>
          <w:lang w:val="uk-UA"/>
        </w:rPr>
        <w:t>довгостроковiй</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перспективi</w:t>
      </w:r>
      <w:proofErr w:type="spellEnd"/>
      <w:r w:rsidRPr="004229C1">
        <w:rPr>
          <w:rFonts w:ascii="Times New Roman" w:hAnsi="Times New Roman" w:cs="Times New Roman"/>
          <w:kern w:val="0"/>
          <w:u w:val="single"/>
          <w:lang w:val="uk-UA"/>
        </w:rPr>
        <w:t>.</w:t>
      </w:r>
    </w:p>
    <w:p w14:paraId="3BCEC57E" w14:textId="080446E7" w:rsidR="007469BF" w:rsidRPr="004229C1" w:rsidRDefault="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Банк має намір і в подальшому реалізовувати свою стратегію в довгостроковій перспективі, в рамках реалізації річних планів та бюджетів, що враховують особливості поточних періодів, проте корелюються з визначеною довгостроковою стратегією.</w:t>
      </w:r>
    </w:p>
    <w:p w14:paraId="2D5B82E0" w14:textId="77777777" w:rsidR="00F60744" w:rsidRPr="004229C1" w:rsidRDefault="00F60744">
      <w:pPr>
        <w:widowControl w:val="0"/>
        <w:autoSpaceDE w:val="0"/>
        <w:autoSpaceDN w:val="0"/>
        <w:adjustRightInd w:val="0"/>
        <w:spacing w:after="0" w:line="240" w:lineRule="auto"/>
        <w:jc w:val="both"/>
        <w:rPr>
          <w:rFonts w:ascii="Times New Roman" w:hAnsi="Times New Roman" w:cs="Times New Roman"/>
          <w:kern w:val="0"/>
          <w:lang w:val="uk-UA"/>
        </w:rPr>
      </w:pPr>
    </w:p>
    <w:p w14:paraId="41C70543" w14:textId="77777777" w:rsidR="007469BF" w:rsidRPr="004229C1" w:rsidRDefault="000B08A7">
      <w:pPr>
        <w:widowControl w:val="0"/>
        <w:autoSpaceDE w:val="0"/>
        <w:autoSpaceDN w:val="0"/>
        <w:adjustRightInd w:val="0"/>
        <w:spacing w:after="0" w:line="240" w:lineRule="auto"/>
        <w:jc w:val="both"/>
        <w:rPr>
          <w:rFonts w:ascii="Times New Roman" w:hAnsi="Times New Roman" w:cs="Times New Roman"/>
          <w:kern w:val="0"/>
          <w:u w:val="single"/>
          <w:lang w:val="uk-UA"/>
        </w:rPr>
      </w:pPr>
      <w:r w:rsidRPr="004229C1">
        <w:rPr>
          <w:rFonts w:ascii="Times New Roman" w:hAnsi="Times New Roman" w:cs="Times New Roman"/>
          <w:kern w:val="0"/>
          <w:u w:val="single"/>
          <w:lang w:val="uk-UA"/>
        </w:rPr>
        <w:t xml:space="preserve">Показники </w:t>
      </w:r>
      <w:proofErr w:type="spellStart"/>
      <w:r w:rsidRPr="004229C1">
        <w:rPr>
          <w:rFonts w:ascii="Times New Roman" w:hAnsi="Times New Roman" w:cs="Times New Roman"/>
          <w:kern w:val="0"/>
          <w:u w:val="single"/>
          <w:lang w:val="uk-UA"/>
        </w:rPr>
        <w:t>ефективностi</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якi</w:t>
      </w:r>
      <w:proofErr w:type="spellEnd"/>
      <w:r w:rsidRPr="004229C1">
        <w:rPr>
          <w:rFonts w:ascii="Times New Roman" w:hAnsi="Times New Roman" w:cs="Times New Roman"/>
          <w:kern w:val="0"/>
          <w:u w:val="single"/>
          <w:lang w:val="uk-UA"/>
        </w:rPr>
        <w:t xml:space="preserve"> використовує </w:t>
      </w:r>
      <w:proofErr w:type="spellStart"/>
      <w:r w:rsidRPr="004229C1">
        <w:rPr>
          <w:rFonts w:ascii="Times New Roman" w:hAnsi="Times New Roman" w:cs="Times New Roman"/>
          <w:kern w:val="0"/>
          <w:u w:val="single"/>
          <w:lang w:val="uk-UA"/>
        </w:rPr>
        <w:t>керiвництво</w:t>
      </w:r>
      <w:proofErr w:type="spellEnd"/>
      <w:r w:rsidRPr="004229C1">
        <w:rPr>
          <w:rFonts w:ascii="Times New Roman" w:hAnsi="Times New Roman" w:cs="Times New Roman"/>
          <w:kern w:val="0"/>
          <w:u w:val="single"/>
          <w:lang w:val="uk-UA"/>
        </w:rPr>
        <w:t xml:space="preserve"> для </w:t>
      </w:r>
      <w:proofErr w:type="spellStart"/>
      <w:r w:rsidRPr="004229C1">
        <w:rPr>
          <w:rFonts w:ascii="Times New Roman" w:hAnsi="Times New Roman" w:cs="Times New Roman"/>
          <w:kern w:val="0"/>
          <w:u w:val="single"/>
          <w:lang w:val="uk-UA"/>
        </w:rPr>
        <w:t>оцiнки</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результатiв</w:t>
      </w:r>
      <w:proofErr w:type="spellEnd"/>
      <w:r w:rsidRPr="004229C1">
        <w:rPr>
          <w:rFonts w:ascii="Times New Roman" w:hAnsi="Times New Roman" w:cs="Times New Roman"/>
          <w:kern w:val="0"/>
          <w:u w:val="single"/>
          <w:lang w:val="uk-UA"/>
        </w:rPr>
        <w:t xml:space="preserve"> </w:t>
      </w:r>
      <w:proofErr w:type="spellStart"/>
      <w:r w:rsidRPr="004229C1">
        <w:rPr>
          <w:rFonts w:ascii="Times New Roman" w:hAnsi="Times New Roman" w:cs="Times New Roman"/>
          <w:kern w:val="0"/>
          <w:u w:val="single"/>
          <w:lang w:val="uk-UA"/>
        </w:rPr>
        <w:t>дiяльностi</w:t>
      </w:r>
      <w:proofErr w:type="spellEnd"/>
      <w:r w:rsidRPr="004229C1">
        <w:rPr>
          <w:rFonts w:ascii="Times New Roman" w:hAnsi="Times New Roman" w:cs="Times New Roman"/>
          <w:kern w:val="0"/>
          <w:u w:val="single"/>
          <w:lang w:val="uk-UA"/>
        </w:rPr>
        <w:t xml:space="preserve"> Банку </w:t>
      </w:r>
      <w:proofErr w:type="spellStart"/>
      <w:r w:rsidRPr="004229C1">
        <w:rPr>
          <w:rFonts w:ascii="Times New Roman" w:hAnsi="Times New Roman" w:cs="Times New Roman"/>
          <w:kern w:val="0"/>
          <w:u w:val="single"/>
          <w:lang w:val="uk-UA"/>
        </w:rPr>
        <w:t>вiдповiдно</w:t>
      </w:r>
      <w:proofErr w:type="spellEnd"/>
      <w:r w:rsidRPr="004229C1">
        <w:rPr>
          <w:rFonts w:ascii="Times New Roman" w:hAnsi="Times New Roman" w:cs="Times New Roman"/>
          <w:kern w:val="0"/>
          <w:u w:val="single"/>
          <w:lang w:val="uk-UA"/>
        </w:rPr>
        <w:t xml:space="preserve"> до встановлених </w:t>
      </w:r>
      <w:proofErr w:type="spellStart"/>
      <w:r w:rsidRPr="004229C1">
        <w:rPr>
          <w:rFonts w:ascii="Times New Roman" w:hAnsi="Times New Roman" w:cs="Times New Roman"/>
          <w:kern w:val="0"/>
          <w:u w:val="single"/>
          <w:lang w:val="uk-UA"/>
        </w:rPr>
        <w:t>цiлей</w:t>
      </w:r>
      <w:proofErr w:type="spellEnd"/>
    </w:p>
    <w:p w14:paraId="7285DAF1"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За результатами діяльності у 2024 році Банк отримав збиток у розмірі 198 218 тис. грн, що на 113% більше, ніж у 2023 році (92 890 тис. грн). Це в основному було пов’язано із меншим обсягом розформованих резервів під кредитну заборгованість позичальників у зв’язку із покращенням платоспроможності клієнтів, що дозволило виконувати свої зобов’язання перед Банком своєчасно та платити достроково, але порівняно з 2023 роком обсяги скоротились. </w:t>
      </w:r>
    </w:p>
    <w:p w14:paraId="142D3754"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Разом з тим, продовжували збільшуватися операційні витрати, що обумовлено зростанням рівня інфляції, подальшою девальвацією гривні, перегляду масштабів та ведення звичайного бізнесу, незважаючи на оптимізацію витрат за рахунок перегляду їх структури відповідно до нагальних потреб Банку, а також проведенням постійних переговорів з постачальниками щодо збереження ціни на поточному рівні.</w:t>
      </w:r>
    </w:p>
    <w:p w14:paraId="25B05B06"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Нижчі обсяги розформованих резервів під кредитну заборгованість та незначне зростання операційних витрат Банку було частково компенсовано суттєвим зростанням операційного доходу за рахунок чистого процентного доходу, що було обумовлено зниженням вартості залучених ресурсів внаслідок зміни монетарної політики НБУ. В той же час, комісійні та інші доходи збільшились як за рахунок розвитку бізнесу так і разових доходів, пов’язаних з  отриманням винагороди від платіжної системи </w:t>
      </w:r>
      <w:proofErr w:type="spellStart"/>
      <w:r w:rsidRPr="004229C1">
        <w:rPr>
          <w:rFonts w:ascii="Times New Roman" w:hAnsi="Times New Roman" w:cs="Times New Roman"/>
          <w:kern w:val="0"/>
          <w:lang w:val="uk-UA"/>
        </w:rPr>
        <w:t>MasterCard</w:t>
      </w:r>
      <w:proofErr w:type="spellEnd"/>
      <w:r w:rsidRPr="004229C1">
        <w:rPr>
          <w:rFonts w:ascii="Times New Roman" w:hAnsi="Times New Roman" w:cs="Times New Roman"/>
          <w:kern w:val="0"/>
          <w:lang w:val="uk-UA"/>
        </w:rPr>
        <w:t xml:space="preserve"> та проведенням реструктуризації - корпоративних кредитів.</w:t>
      </w:r>
    </w:p>
    <w:p w14:paraId="79A0AFEC"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Загальні активи Банку у 2024 році порівняно з 2023 роком зросли на 11%, та становлять 12,1 млрд грн. Дане зростання було обумовлене збільшенням власного капіталу Банку за рахунок внесків Материнської компанії та обсягів залучених коштів від фізичних осіб.</w:t>
      </w:r>
    </w:p>
    <w:p w14:paraId="2489DA29"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В частині балансу у Банка відбулися наступні зміни:</w:t>
      </w:r>
    </w:p>
    <w:p w14:paraId="57832040"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суттєве зростання обсягу портфелю цінних паперів з диверсифікацією фінансових інструментів, в тому числі за рахунок перегляду лімітів, як альтернативи розміщення вільної ліквідності в гривні та валюті і забезпечення </w:t>
      </w:r>
      <w:proofErr w:type="spellStart"/>
      <w:r w:rsidRPr="004229C1">
        <w:rPr>
          <w:rFonts w:ascii="Times New Roman" w:hAnsi="Times New Roman" w:cs="Times New Roman"/>
          <w:kern w:val="0"/>
          <w:lang w:val="uk-UA"/>
        </w:rPr>
        <w:t>безризикового</w:t>
      </w:r>
      <w:proofErr w:type="spellEnd"/>
      <w:r w:rsidRPr="004229C1">
        <w:rPr>
          <w:rFonts w:ascii="Times New Roman" w:hAnsi="Times New Roman" w:cs="Times New Roman"/>
          <w:kern w:val="0"/>
          <w:lang w:val="uk-UA"/>
        </w:rPr>
        <w:t xml:space="preserve"> процентного доходу;</w:t>
      </w:r>
    </w:p>
    <w:p w14:paraId="5C790A6B"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збільшення об'єму депозитного портфелю клієнтів, обумовлене необхідністю залучення ресурсів для забезпечення стабільної ресурсної бази та достатнього рівня ліквідності;</w:t>
      </w:r>
    </w:p>
    <w:p w14:paraId="2A919C8A"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w:t>
      </w:r>
      <w:r w:rsidRPr="004229C1">
        <w:rPr>
          <w:rFonts w:ascii="Times New Roman" w:hAnsi="Times New Roman" w:cs="Times New Roman"/>
          <w:kern w:val="0"/>
          <w:lang w:val="uk-UA"/>
        </w:rPr>
        <w:tab/>
        <w:t xml:space="preserve">зростання кредитного портфелю за рахунок відновлення кредитування клієнтів, як корпоративного так і роздрібного сегментів, з фокусом на </w:t>
      </w:r>
      <w:proofErr w:type="spellStart"/>
      <w:r w:rsidRPr="004229C1">
        <w:rPr>
          <w:rFonts w:ascii="Times New Roman" w:hAnsi="Times New Roman" w:cs="Times New Roman"/>
          <w:kern w:val="0"/>
          <w:lang w:val="uk-UA"/>
        </w:rPr>
        <w:t>профайл</w:t>
      </w:r>
      <w:proofErr w:type="spellEnd"/>
      <w:r w:rsidRPr="004229C1">
        <w:rPr>
          <w:rFonts w:ascii="Times New Roman" w:hAnsi="Times New Roman" w:cs="Times New Roman"/>
          <w:kern w:val="0"/>
          <w:lang w:val="uk-UA"/>
        </w:rPr>
        <w:t xml:space="preserve"> клієнта, дохідність та безпосередньо вплив на регулятивний капітал через ризикові активи.</w:t>
      </w:r>
    </w:p>
    <w:p w14:paraId="45941FE5" w14:textId="2F2F22AA" w:rsidR="007469BF"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Щодо нефінансових показників діяльності Банку, то слід зазначити, що протягом звітного 2024 року кількість працюючих АТМ була сталою і становила 82 шт. Мережа відділень Банку протягом року скоротилась на 1 відділення, діяльність якого була зупинена, і на кінець року становила 39 працюючих відділень.</w:t>
      </w:r>
    </w:p>
    <w:p w14:paraId="5D80A3A2" w14:textId="77777777" w:rsidR="00F60744" w:rsidRPr="004229C1" w:rsidRDefault="00F60744" w:rsidP="00F60744">
      <w:pPr>
        <w:widowControl w:val="0"/>
        <w:autoSpaceDE w:val="0"/>
        <w:autoSpaceDN w:val="0"/>
        <w:adjustRightInd w:val="0"/>
        <w:spacing w:after="0" w:line="240" w:lineRule="auto"/>
        <w:jc w:val="both"/>
        <w:rPr>
          <w:rFonts w:ascii="Times New Roman" w:hAnsi="Times New Roman" w:cs="Times New Roman"/>
          <w:kern w:val="0"/>
          <w:lang w:val="uk-UA"/>
        </w:rPr>
      </w:pPr>
    </w:p>
    <w:p w14:paraId="2ABDF3DC" w14:textId="77777777" w:rsidR="007469BF" w:rsidRPr="004229C1" w:rsidRDefault="000B08A7" w:rsidP="00394FCC">
      <w:pPr>
        <w:pStyle w:val="Heading2"/>
        <w:rPr>
          <w:rFonts w:cs="Times New Roman"/>
          <w:lang w:val="uk-UA"/>
        </w:rPr>
      </w:pPr>
      <w:bookmarkStart w:id="23" w:name="_Toc200057397"/>
      <w:r w:rsidRPr="004229C1">
        <w:rPr>
          <w:rFonts w:cs="Times New Roman"/>
          <w:lang w:val="uk-UA"/>
        </w:rPr>
        <w:t>1) звіт про корпоративне управління</w:t>
      </w:r>
      <w:bookmarkEnd w:id="23"/>
    </w:p>
    <w:p w14:paraId="5441138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14:paraId="63DEA130" w14:textId="77777777" w:rsidR="0080642C" w:rsidRPr="004229C1" w:rsidRDefault="0080642C">
      <w:pPr>
        <w:widowControl w:val="0"/>
        <w:autoSpaceDE w:val="0"/>
        <w:autoSpaceDN w:val="0"/>
        <w:adjustRightInd w:val="0"/>
        <w:spacing w:after="0" w:line="240" w:lineRule="auto"/>
        <w:rPr>
          <w:rFonts w:ascii="Times New Roman" w:hAnsi="Times New Roman" w:cs="Times New Roman"/>
          <w:kern w:val="0"/>
          <w:lang w:val="uk-UA"/>
        </w:rPr>
      </w:pPr>
    </w:p>
    <w:p w14:paraId="2D7500A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кодекс корпоративного управління, яким керується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6000"/>
      </w:tblGrid>
      <w:tr w:rsidR="007469BF" w:rsidRPr="004229C1" w14:paraId="3762CA28" w14:textId="77777777">
        <w:trPr>
          <w:trHeight w:val="200"/>
        </w:trPr>
        <w:tc>
          <w:tcPr>
            <w:tcW w:w="4000" w:type="dxa"/>
            <w:tcBorders>
              <w:top w:val="single" w:sz="6" w:space="0" w:color="auto"/>
              <w:bottom w:val="single" w:sz="6" w:space="0" w:color="auto"/>
              <w:right w:val="single" w:sz="6" w:space="0" w:color="auto"/>
            </w:tcBorders>
            <w:vAlign w:val="center"/>
          </w:tcPr>
          <w:p w14:paraId="7CA62136"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6000" w:type="dxa"/>
            <w:tcBorders>
              <w:top w:val="single" w:sz="6" w:space="0" w:color="auto"/>
              <w:left w:val="single" w:sz="6" w:space="0" w:color="auto"/>
              <w:bottom w:val="single" w:sz="6" w:space="0" w:color="auto"/>
            </w:tcBorders>
            <w:vAlign w:val="center"/>
          </w:tcPr>
          <w:p w14:paraId="0C55171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Прийнято рішення про застосування іншого кодексу</w:t>
            </w:r>
          </w:p>
        </w:tc>
      </w:tr>
      <w:tr w:rsidR="007469BF" w:rsidRPr="004229C1" w14:paraId="6A90596A" w14:textId="77777777">
        <w:trPr>
          <w:trHeight w:val="200"/>
        </w:trPr>
        <w:tc>
          <w:tcPr>
            <w:tcW w:w="4000" w:type="dxa"/>
            <w:tcBorders>
              <w:top w:val="single" w:sz="6" w:space="0" w:color="auto"/>
              <w:bottom w:val="single" w:sz="6" w:space="0" w:color="auto"/>
              <w:right w:val="single" w:sz="6" w:space="0" w:color="auto"/>
            </w:tcBorders>
            <w:vAlign w:val="center"/>
          </w:tcPr>
          <w:p w14:paraId="63F2385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Назва органу управління, яким прийнято рішення про затвердження застосування іншого кодексу</w:t>
            </w:r>
          </w:p>
        </w:tc>
        <w:tc>
          <w:tcPr>
            <w:tcW w:w="6000" w:type="dxa"/>
            <w:tcBorders>
              <w:top w:val="single" w:sz="6" w:space="0" w:color="auto"/>
              <w:left w:val="single" w:sz="6" w:space="0" w:color="auto"/>
              <w:bottom w:val="single" w:sz="6" w:space="0" w:color="auto"/>
            </w:tcBorders>
            <w:vAlign w:val="center"/>
          </w:tcPr>
          <w:p w14:paraId="5E6883AC" w14:textId="71EAC692"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Загальнi</w:t>
            </w:r>
            <w:proofErr w:type="spellEnd"/>
            <w:r w:rsidRPr="004229C1">
              <w:rPr>
                <w:rFonts w:ascii="Times New Roman" w:hAnsi="Times New Roman" w:cs="Times New Roman"/>
                <w:kern w:val="0"/>
                <w:sz w:val="22"/>
                <w:szCs w:val="22"/>
                <w:lang w:val="uk-UA"/>
              </w:rPr>
              <w:t xml:space="preserve"> Збори </w:t>
            </w:r>
            <w:proofErr w:type="spellStart"/>
            <w:r w:rsidRPr="004229C1">
              <w:rPr>
                <w:rFonts w:ascii="Times New Roman" w:hAnsi="Times New Roman" w:cs="Times New Roman"/>
                <w:kern w:val="0"/>
                <w:sz w:val="22"/>
                <w:szCs w:val="22"/>
                <w:lang w:val="uk-UA"/>
              </w:rPr>
              <w:t>aкцiонерiв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xml:space="preserve"> Банку</w:t>
            </w:r>
            <w:r w:rsidR="0080642C" w:rsidRPr="004229C1">
              <w:rPr>
                <w:rFonts w:ascii="Times New Roman" w:hAnsi="Times New Roman" w:cs="Times New Roman"/>
                <w:kern w:val="0"/>
                <w:sz w:val="22"/>
                <w:szCs w:val="22"/>
                <w:lang w:val="uk-UA"/>
              </w:rPr>
              <w:t xml:space="preserve"> </w:t>
            </w:r>
            <w:r w:rsidRPr="004229C1">
              <w:rPr>
                <w:rFonts w:ascii="Times New Roman" w:hAnsi="Times New Roman" w:cs="Times New Roman"/>
                <w:kern w:val="0"/>
                <w:sz w:val="22"/>
                <w:szCs w:val="22"/>
                <w:lang w:val="uk-UA"/>
              </w:rPr>
              <w:t xml:space="preserve">№ </w:t>
            </w:r>
            <w:r w:rsidR="00557E7F" w:rsidRPr="004229C1">
              <w:rPr>
                <w:rFonts w:ascii="Times New Roman" w:hAnsi="Times New Roman" w:cs="Times New Roman"/>
                <w:kern w:val="0"/>
                <w:sz w:val="22"/>
                <w:szCs w:val="22"/>
                <w:lang w:val="uk-UA"/>
              </w:rPr>
              <w:t>1</w:t>
            </w:r>
            <w:r w:rsidRPr="004229C1">
              <w:rPr>
                <w:rFonts w:ascii="Times New Roman" w:hAnsi="Times New Roman" w:cs="Times New Roman"/>
                <w:kern w:val="0"/>
                <w:sz w:val="22"/>
                <w:szCs w:val="22"/>
                <w:lang w:val="uk-UA"/>
              </w:rPr>
              <w:t>/20</w:t>
            </w:r>
            <w:r w:rsidR="00557E7F" w:rsidRPr="004229C1">
              <w:rPr>
                <w:rFonts w:ascii="Times New Roman" w:hAnsi="Times New Roman" w:cs="Times New Roman"/>
                <w:kern w:val="0"/>
                <w:sz w:val="22"/>
                <w:szCs w:val="22"/>
                <w:lang w:val="uk-UA"/>
              </w:rPr>
              <w:t>24</w:t>
            </w:r>
            <w:r w:rsidRPr="004229C1">
              <w:rPr>
                <w:rFonts w:ascii="Times New Roman" w:hAnsi="Times New Roman" w:cs="Times New Roman"/>
                <w:kern w:val="0"/>
                <w:sz w:val="22"/>
                <w:szCs w:val="22"/>
                <w:lang w:val="uk-UA"/>
              </w:rPr>
              <w:t>)</w:t>
            </w:r>
          </w:p>
        </w:tc>
      </w:tr>
      <w:tr w:rsidR="007469BF" w:rsidRPr="004229C1" w14:paraId="7042B47A" w14:textId="77777777">
        <w:trPr>
          <w:trHeight w:val="200"/>
        </w:trPr>
        <w:tc>
          <w:tcPr>
            <w:tcW w:w="4000" w:type="dxa"/>
            <w:tcBorders>
              <w:top w:val="single" w:sz="6" w:space="0" w:color="auto"/>
              <w:bottom w:val="single" w:sz="6" w:space="0" w:color="auto"/>
              <w:right w:val="single" w:sz="6" w:space="0" w:color="auto"/>
            </w:tcBorders>
            <w:vAlign w:val="center"/>
          </w:tcPr>
          <w:p w14:paraId="3EC321F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прийняття рішення щодо затвердження застосування іншого кодексу</w:t>
            </w:r>
          </w:p>
        </w:tc>
        <w:tc>
          <w:tcPr>
            <w:tcW w:w="6000" w:type="dxa"/>
            <w:tcBorders>
              <w:top w:val="single" w:sz="6" w:space="0" w:color="auto"/>
              <w:left w:val="single" w:sz="6" w:space="0" w:color="auto"/>
              <w:bottom w:val="single" w:sz="6" w:space="0" w:color="auto"/>
            </w:tcBorders>
            <w:vAlign w:val="center"/>
          </w:tcPr>
          <w:p w14:paraId="5EFB784B" w14:textId="7E8DC2D4" w:rsidR="007469BF" w:rsidRPr="004229C1" w:rsidRDefault="00557E7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09</w:t>
            </w:r>
            <w:r w:rsidR="000B08A7"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02</w:t>
            </w:r>
            <w:r w:rsidR="000B08A7" w:rsidRPr="004229C1">
              <w:rPr>
                <w:rFonts w:ascii="Times New Roman" w:hAnsi="Times New Roman" w:cs="Times New Roman"/>
                <w:kern w:val="0"/>
                <w:sz w:val="22"/>
                <w:szCs w:val="22"/>
                <w:lang w:val="uk-UA"/>
              </w:rPr>
              <w:t>.20</w:t>
            </w:r>
            <w:r w:rsidRPr="004229C1">
              <w:rPr>
                <w:rFonts w:ascii="Times New Roman" w:hAnsi="Times New Roman" w:cs="Times New Roman"/>
                <w:kern w:val="0"/>
                <w:sz w:val="22"/>
                <w:szCs w:val="22"/>
                <w:lang w:val="uk-UA"/>
              </w:rPr>
              <w:t>24</w:t>
            </w:r>
          </w:p>
        </w:tc>
      </w:tr>
      <w:tr w:rsidR="007469BF" w:rsidRPr="004229C1" w14:paraId="64E2255E" w14:textId="77777777">
        <w:trPr>
          <w:trHeight w:val="200"/>
        </w:trPr>
        <w:tc>
          <w:tcPr>
            <w:tcW w:w="4000" w:type="dxa"/>
            <w:tcBorders>
              <w:top w:val="single" w:sz="6" w:space="0" w:color="auto"/>
              <w:bottom w:val="single" w:sz="6" w:space="0" w:color="auto"/>
              <w:right w:val="single" w:sz="6" w:space="0" w:color="auto"/>
            </w:tcBorders>
            <w:vAlign w:val="center"/>
          </w:tcPr>
          <w:p w14:paraId="4A12A75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URL-адреса з текстом кодексу</w:t>
            </w:r>
          </w:p>
        </w:tc>
        <w:tc>
          <w:tcPr>
            <w:tcW w:w="6000" w:type="dxa"/>
            <w:tcBorders>
              <w:top w:val="single" w:sz="6" w:space="0" w:color="auto"/>
              <w:left w:val="single" w:sz="6" w:space="0" w:color="auto"/>
              <w:bottom w:val="single" w:sz="6" w:space="0" w:color="auto"/>
            </w:tcBorders>
            <w:vAlign w:val="center"/>
          </w:tcPr>
          <w:p w14:paraId="48AB0B6D" w14:textId="1248095D" w:rsidR="007469BF" w:rsidRPr="004229C1" w:rsidRDefault="00557E7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https://www.nssmc.gov.ua/wp-content/uploads/2020/03/corporate-governance-code_final_ukr.pdf</w:t>
            </w:r>
          </w:p>
        </w:tc>
      </w:tr>
    </w:tbl>
    <w:p w14:paraId="52C08002"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3DFBA60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практику корпоративного управління особи, застосовувану понад визначені законодавством вимоги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1500"/>
        <w:gridCol w:w="4500"/>
      </w:tblGrid>
      <w:tr w:rsidR="007469BF" w:rsidRPr="004229C1" w14:paraId="7F0B7E3B" w14:textId="77777777">
        <w:trPr>
          <w:trHeight w:val="200"/>
        </w:trPr>
        <w:tc>
          <w:tcPr>
            <w:tcW w:w="4000" w:type="dxa"/>
            <w:tcBorders>
              <w:top w:val="single" w:sz="6" w:space="0" w:color="auto"/>
              <w:bottom w:val="single" w:sz="6" w:space="0" w:color="auto"/>
              <w:right w:val="single" w:sz="6" w:space="0" w:color="auto"/>
            </w:tcBorders>
            <w:vAlign w:val="center"/>
          </w:tcPr>
          <w:p w14:paraId="7A1DBB4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1500" w:type="dxa"/>
            <w:tcBorders>
              <w:top w:val="single" w:sz="6" w:space="0" w:color="auto"/>
              <w:left w:val="single" w:sz="6" w:space="0" w:color="auto"/>
              <w:bottom w:val="single" w:sz="6" w:space="0" w:color="auto"/>
              <w:right w:val="single" w:sz="6" w:space="0" w:color="auto"/>
            </w:tcBorders>
            <w:vAlign w:val="center"/>
          </w:tcPr>
          <w:p w14:paraId="61A57C7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Відповідність практики (Так/Ні)</w:t>
            </w:r>
          </w:p>
        </w:tc>
        <w:tc>
          <w:tcPr>
            <w:tcW w:w="4500" w:type="dxa"/>
            <w:tcBorders>
              <w:top w:val="single" w:sz="6" w:space="0" w:color="auto"/>
              <w:left w:val="single" w:sz="6" w:space="0" w:color="auto"/>
              <w:bottom w:val="single" w:sz="6" w:space="0" w:color="auto"/>
            </w:tcBorders>
            <w:vAlign w:val="center"/>
          </w:tcPr>
          <w:p w14:paraId="24A5932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Опис наявної практики/обґрунтування відхилення</w:t>
            </w:r>
          </w:p>
        </w:tc>
      </w:tr>
      <w:tr w:rsidR="007469BF" w:rsidRPr="004229C1" w14:paraId="6F187BCD" w14:textId="77777777">
        <w:trPr>
          <w:trHeight w:val="200"/>
        </w:trPr>
        <w:tc>
          <w:tcPr>
            <w:tcW w:w="10000" w:type="dxa"/>
            <w:gridSpan w:val="3"/>
            <w:tcBorders>
              <w:top w:val="single" w:sz="6" w:space="0" w:color="auto"/>
              <w:bottom w:val="single" w:sz="6" w:space="0" w:color="auto"/>
            </w:tcBorders>
          </w:tcPr>
          <w:p w14:paraId="76F6A4AD"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1. Цілі особи</w:t>
            </w:r>
          </w:p>
        </w:tc>
      </w:tr>
      <w:tr w:rsidR="007469BF" w:rsidRPr="004229C1" w14:paraId="30F9BB93" w14:textId="77777777">
        <w:trPr>
          <w:trHeight w:val="200"/>
        </w:trPr>
        <w:tc>
          <w:tcPr>
            <w:tcW w:w="4000" w:type="dxa"/>
            <w:tcBorders>
              <w:top w:val="single" w:sz="6" w:space="0" w:color="auto"/>
              <w:bottom w:val="single" w:sz="6" w:space="0" w:color="auto"/>
              <w:right w:val="single" w:sz="6" w:space="0" w:color="auto"/>
            </w:tcBorders>
          </w:tcPr>
          <w:p w14:paraId="19526A8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00" w:type="dxa"/>
            <w:tcBorders>
              <w:top w:val="single" w:sz="6" w:space="0" w:color="auto"/>
              <w:left w:val="single" w:sz="6" w:space="0" w:color="auto"/>
              <w:bottom w:val="single" w:sz="6" w:space="0" w:color="auto"/>
              <w:right w:val="single" w:sz="6" w:space="0" w:color="auto"/>
            </w:tcBorders>
          </w:tcPr>
          <w:p w14:paraId="09CD64A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279C446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передбачено, що основною метою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є отримання оптимального </w:t>
            </w:r>
            <w:proofErr w:type="spellStart"/>
            <w:r w:rsidRPr="004229C1">
              <w:rPr>
                <w:rFonts w:ascii="Times New Roman" w:hAnsi="Times New Roman" w:cs="Times New Roman"/>
                <w:kern w:val="0"/>
                <w:sz w:val="22"/>
                <w:szCs w:val="22"/>
                <w:lang w:val="uk-UA"/>
              </w:rPr>
              <w:t>розмiру</w:t>
            </w:r>
            <w:proofErr w:type="spellEnd"/>
            <w:r w:rsidRPr="004229C1">
              <w:rPr>
                <w:rFonts w:ascii="Times New Roman" w:hAnsi="Times New Roman" w:cs="Times New Roman"/>
                <w:kern w:val="0"/>
                <w:sz w:val="22"/>
                <w:szCs w:val="22"/>
                <w:lang w:val="uk-UA"/>
              </w:rPr>
              <w:t xml:space="preserve"> прибутку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використання власних та залучених </w:t>
            </w:r>
            <w:proofErr w:type="spellStart"/>
            <w:r w:rsidRPr="004229C1">
              <w:rPr>
                <w:rFonts w:ascii="Times New Roman" w:hAnsi="Times New Roman" w:cs="Times New Roman"/>
                <w:kern w:val="0"/>
                <w:sz w:val="22"/>
                <w:szCs w:val="22"/>
                <w:lang w:val="uk-UA"/>
              </w:rPr>
              <w:t>коштiв</w:t>
            </w:r>
            <w:proofErr w:type="spellEnd"/>
            <w:r w:rsidRPr="004229C1">
              <w:rPr>
                <w:rFonts w:ascii="Times New Roman" w:hAnsi="Times New Roman" w:cs="Times New Roman"/>
                <w:kern w:val="0"/>
                <w:sz w:val="22"/>
                <w:szCs w:val="22"/>
                <w:lang w:val="uk-UA"/>
              </w:rPr>
              <w:t xml:space="preserve"> для забезпечення виплати </w:t>
            </w:r>
            <w:proofErr w:type="spellStart"/>
            <w:r w:rsidRPr="004229C1">
              <w:rPr>
                <w:rFonts w:ascii="Times New Roman" w:hAnsi="Times New Roman" w:cs="Times New Roman"/>
                <w:kern w:val="0"/>
                <w:sz w:val="22"/>
                <w:szCs w:val="22"/>
                <w:lang w:val="uk-UA"/>
              </w:rPr>
              <w:t>дивiдендiв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акцiонерам</w:t>
            </w:r>
            <w:proofErr w:type="spellEnd"/>
            <w:r w:rsidRPr="004229C1">
              <w:rPr>
                <w:rFonts w:ascii="Times New Roman" w:hAnsi="Times New Roman" w:cs="Times New Roman"/>
                <w:kern w:val="0"/>
                <w:sz w:val="22"/>
                <w:szCs w:val="22"/>
                <w:lang w:val="uk-UA"/>
              </w:rPr>
              <w:t xml:space="preserve"> Банку та розвитку своєї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Одночасно Банк забезпечує дотримання </w:t>
            </w:r>
            <w:proofErr w:type="spellStart"/>
            <w:r w:rsidRPr="004229C1">
              <w:rPr>
                <w:rFonts w:ascii="Times New Roman" w:hAnsi="Times New Roman" w:cs="Times New Roman"/>
                <w:kern w:val="0"/>
                <w:sz w:val="22"/>
                <w:szCs w:val="22"/>
                <w:lang w:val="uk-UA"/>
              </w:rPr>
              <w:t>iнтересiв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вкладникiв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кредиторiв</w:t>
            </w:r>
            <w:proofErr w:type="spellEnd"/>
            <w:r w:rsidRPr="004229C1">
              <w:rPr>
                <w:rFonts w:ascii="Times New Roman" w:hAnsi="Times New Roman" w:cs="Times New Roman"/>
                <w:kern w:val="0"/>
                <w:sz w:val="22"/>
                <w:szCs w:val="22"/>
                <w:lang w:val="uk-UA"/>
              </w:rPr>
              <w:t xml:space="preserve"> Банку, його </w:t>
            </w:r>
            <w:proofErr w:type="spellStart"/>
            <w:r w:rsidRPr="004229C1">
              <w:rPr>
                <w:rFonts w:ascii="Times New Roman" w:hAnsi="Times New Roman" w:cs="Times New Roman"/>
                <w:kern w:val="0"/>
                <w:sz w:val="22"/>
                <w:szCs w:val="22"/>
                <w:lang w:val="uk-UA"/>
              </w:rPr>
              <w:t>працiвникiв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дiлових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партнерiв</w:t>
            </w:r>
            <w:proofErr w:type="spellEnd"/>
            <w:r w:rsidRPr="004229C1">
              <w:rPr>
                <w:rFonts w:ascii="Times New Roman" w:hAnsi="Times New Roman" w:cs="Times New Roman"/>
                <w:kern w:val="0"/>
                <w:sz w:val="22"/>
                <w:szCs w:val="22"/>
                <w:lang w:val="uk-UA"/>
              </w:rPr>
              <w:t xml:space="preserve">, держави та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заiнте-ресованих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w:t>
            </w:r>
          </w:p>
        </w:tc>
      </w:tr>
      <w:tr w:rsidR="007469BF" w:rsidRPr="004229C1" w14:paraId="7D2DC1FA" w14:textId="77777777">
        <w:trPr>
          <w:trHeight w:val="200"/>
        </w:trPr>
        <w:tc>
          <w:tcPr>
            <w:tcW w:w="10000" w:type="dxa"/>
            <w:gridSpan w:val="3"/>
            <w:tcBorders>
              <w:top w:val="single" w:sz="6" w:space="0" w:color="auto"/>
              <w:bottom w:val="single" w:sz="6" w:space="0" w:color="auto"/>
            </w:tcBorders>
          </w:tcPr>
          <w:p w14:paraId="779DD62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 xml:space="preserve">2. Акціонери та </w:t>
            </w:r>
            <w:proofErr w:type="spellStart"/>
            <w:r w:rsidRPr="004229C1">
              <w:rPr>
                <w:rFonts w:ascii="Times New Roman" w:hAnsi="Times New Roman" w:cs="Times New Roman"/>
                <w:b/>
                <w:bCs/>
                <w:kern w:val="0"/>
                <w:sz w:val="22"/>
                <w:szCs w:val="22"/>
                <w:lang w:val="uk-UA"/>
              </w:rPr>
              <w:t>стейкхолдери</w:t>
            </w:r>
            <w:proofErr w:type="spellEnd"/>
          </w:p>
        </w:tc>
      </w:tr>
      <w:tr w:rsidR="007469BF" w:rsidRPr="004229C1" w14:paraId="10A8A61C" w14:textId="77777777">
        <w:trPr>
          <w:trHeight w:val="200"/>
        </w:trPr>
        <w:tc>
          <w:tcPr>
            <w:tcW w:w="4000" w:type="dxa"/>
            <w:tcBorders>
              <w:top w:val="single" w:sz="6" w:space="0" w:color="auto"/>
              <w:bottom w:val="single" w:sz="6" w:space="0" w:color="auto"/>
              <w:right w:val="single" w:sz="6" w:space="0" w:color="auto"/>
            </w:tcBorders>
          </w:tcPr>
          <w:p w14:paraId="5F7780F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14:paraId="069C5CC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7A0033A"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w:t>
            </w:r>
            <w:proofErr w:type="spellStart"/>
            <w:r w:rsidRPr="004229C1">
              <w:rPr>
                <w:rFonts w:ascii="Times New Roman" w:hAnsi="Times New Roman" w:cs="Times New Roman"/>
                <w:kern w:val="0"/>
                <w:sz w:val="22"/>
                <w:szCs w:val="22"/>
                <w:lang w:val="uk-UA"/>
              </w:rPr>
              <w:t>передбаченi</w:t>
            </w:r>
            <w:proofErr w:type="spellEnd"/>
            <w:r w:rsidRPr="004229C1">
              <w:rPr>
                <w:rFonts w:ascii="Times New Roman" w:hAnsi="Times New Roman" w:cs="Times New Roman"/>
                <w:kern w:val="0"/>
                <w:sz w:val="22"/>
                <w:szCs w:val="22"/>
                <w:lang w:val="uk-UA"/>
              </w:rPr>
              <w:t xml:space="preserve"> права </w:t>
            </w:r>
            <w:proofErr w:type="spellStart"/>
            <w:r w:rsidRPr="004229C1">
              <w:rPr>
                <w:rFonts w:ascii="Times New Roman" w:hAnsi="Times New Roman" w:cs="Times New Roman"/>
                <w:kern w:val="0"/>
                <w:sz w:val="22"/>
                <w:szCs w:val="22"/>
                <w:lang w:val="uk-UA"/>
              </w:rPr>
              <w:t>акцiонерiв</w:t>
            </w:r>
            <w:proofErr w:type="spellEnd"/>
          </w:p>
        </w:tc>
      </w:tr>
      <w:tr w:rsidR="007469BF" w:rsidRPr="004229C1" w14:paraId="0FF45996" w14:textId="77777777">
        <w:trPr>
          <w:trHeight w:val="200"/>
        </w:trPr>
        <w:tc>
          <w:tcPr>
            <w:tcW w:w="4000" w:type="dxa"/>
            <w:tcBorders>
              <w:top w:val="single" w:sz="6" w:space="0" w:color="auto"/>
              <w:bottom w:val="single" w:sz="6" w:space="0" w:color="auto"/>
              <w:right w:val="single" w:sz="6" w:space="0" w:color="auto"/>
            </w:tcBorders>
          </w:tcPr>
          <w:p w14:paraId="30F9321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14:paraId="6302DBB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7FB2F881"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одному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мiноритарнi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акцiонери</w:t>
            </w:r>
            <w:proofErr w:type="spellEnd"/>
            <w:r w:rsidRPr="004229C1">
              <w:rPr>
                <w:rFonts w:ascii="Times New Roman" w:hAnsi="Times New Roman" w:cs="Times New Roman"/>
                <w:kern w:val="0"/>
                <w:sz w:val="22"/>
                <w:szCs w:val="22"/>
                <w:lang w:val="uk-UA"/>
              </w:rPr>
              <w:t xml:space="preserve"> у Банку </w:t>
            </w:r>
            <w:proofErr w:type="spellStart"/>
            <w:r w:rsidRPr="004229C1">
              <w:rPr>
                <w:rFonts w:ascii="Times New Roman" w:hAnsi="Times New Roman" w:cs="Times New Roman"/>
                <w:kern w:val="0"/>
                <w:sz w:val="22"/>
                <w:szCs w:val="22"/>
                <w:lang w:val="uk-UA"/>
              </w:rPr>
              <w:t>вiдсутнi</w:t>
            </w:r>
            <w:proofErr w:type="spellEnd"/>
            <w:r w:rsidRPr="004229C1">
              <w:rPr>
                <w:rFonts w:ascii="Times New Roman" w:hAnsi="Times New Roman" w:cs="Times New Roman"/>
                <w:kern w:val="0"/>
                <w:sz w:val="22"/>
                <w:szCs w:val="22"/>
                <w:lang w:val="uk-UA"/>
              </w:rPr>
              <w:t>.</w:t>
            </w:r>
          </w:p>
        </w:tc>
      </w:tr>
      <w:tr w:rsidR="007469BF" w:rsidRPr="004229C1" w14:paraId="06721086" w14:textId="77777777">
        <w:trPr>
          <w:trHeight w:val="200"/>
        </w:trPr>
        <w:tc>
          <w:tcPr>
            <w:tcW w:w="10000" w:type="dxa"/>
            <w:gridSpan w:val="3"/>
            <w:tcBorders>
              <w:top w:val="single" w:sz="6" w:space="0" w:color="auto"/>
              <w:bottom w:val="single" w:sz="6" w:space="0" w:color="auto"/>
            </w:tcBorders>
          </w:tcPr>
          <w:p w14:paraId="2C1D988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1) загальні збори акціонерів</w:t>
            </w:r>
          </w:p>
        </w:tc>
      </w:tr>
      <w:tr w:rsidR="007469BF" w:rsidRPr="004229C1" w14:paraId="507799A7" w14:textId="77777777">
        <w:trPr>
          <w:trHeight w:val="200"/>
        </w:trPr>
        <w:tc>
          <w:tcPr>
            <w:tcW w:w="4000" w:type="dxa"/>
            <w:tcBorders>
              <w:top w:val="single" w:sz="6" w:space="0" w:color="auto"/>
              <w:bottom w:val="single" w:sz="6" w:space="0" w:color="auto"/>
              <w:right w:val="single" w:sz="6" w:space="0" w:color="auto"/>
            </w:tcBorders>
          </w:tcPr>
          <w:p w14:paraId="60F09A1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14:paraId="0954C4D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14104D71"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належить одному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скликання та проведення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вiдбувається</w:t>
            </w:r>
            <w:proofErr w:type="spellEnd"/>
            <w:r w:rsidRPr="004229C1">
              <w:rPr>
                <w:rFonts w:ascii="Times New Roman" w:hAnsi="Times New Roman" w:cs="Times New Roman"/>
                <w:kern w:val="0"/>
                <w:sz w:val="22"/>
                <w:szCs w:val="22"/>
                <w:lang w:val="uk-UA"/>
              </w:rPr>
              <w:t xml:space="preserve"> з урахуванням особливостей, визначених Законом про </w:t>
            </w:r>
            <w:proofErr w:type="spellStart"/>
            <w:r w:rsidRPr="004229C1">
              <w:rPr>
                <w:rFonts w:ascii="Times New Roman" w:hAnsi="Times New Roman" w:cs="Times New Roman"/>
                <w:kern w:val="0"/>
                <w:sz w:val="22"/>
                <w:szCs w:val="22"/>
                <w:lang w:val="uk-UA"/>
              </w:rPr>
              <w:t>акцiонернi</w:t>
            </w:r>
            <w:proofErr w:type="spellEnd"/>
            <w:r w:rsidRPr="004229C1">
              <w:rPr>
                <w:rFonts w:ascii="Times New Roman" w:hAnsi="Times New Roman" w:cs="Times New Roman"/>
                <w:kern w:val="0"/>
                <w:sz w:val="22"/>
                <w:szCs w:val="22"/>
                <w:lang w:val="uk-UA"/>
              </w:rPr>
              <w:t xml:space="preserve"> товариства для товариства з одним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w:t>
            </w:r>
            <w:proofErr w:type="spellEnd"/>
            <w:r w:rsidRPr="004229C1">
              <w:rPr>
                <w:rFonts w:ascii="Times New Roman" w:hAnsi="Times New Roman" w:cs="Times New Roman"/>
                <w:kern w:val="0"/>
                <w:sz w:val="22"/>
                <w:szCs w:val="22"/>
                <w:lang w:val="uk-UA"/>
              </w:rPr>
              <w:t xml:space="preserve"> має </w:t>
            </w:r>
            <w:proofErr w:type="spellStart"/>
            <w:r w:rsidRPr="004229C1">
              <w:rPr>
                <w:rFonts w:ascii="Times New Roman" w:hAnsi="Times New Roman" w:cs="Times New Roman"/>
                <w:kern w:val="0"/>
                <w:sz w:val="22"/>
                <w:szCs w:val="22"/>
                <w:lang w:val="uk-UA"/>
              </w:rPr>
              <w:t>можливiсть</w:t>
            </w:r>
            <w:proofErr w:type="spellEnd"/>
            <w:r w:rsidRPr="004229C1">
              <w:rPr>
                <w:rFonts w:ascii="Times New Roman" w:hAnsi="Times New Roman" w:cs="Times New Roman"/>
                <w:kern w:val="0"/>
                <w:sz w:val="22"/>
                <w:szCs w:val="22"/>
                <w:lang w:val="uk-UA"/>
              </w:rPr>
              <w:t xml:space="preserve"> завчасно отримувати додаткову </w:t>
            </w:r>
            <w:proofErr w:type="spellStart"/>
            <w:r w:rsidRPr="004229C1">
              <w:rPr>
                <w:rFonts w:ascii="Times New Roman" w:hAnsi="Times New Roman" w:cs="Times New Roman"/>
                <w:kern w:val="0"/>
                <w:sz w:val="22"/>
                <w:szCs w:val="22"/>
                <w:lang w:val="uk-UA"/>
              </w:rPr>
              <w:t>iнформацiю</w:t>
            </w:r>
            <w:proofErr w:type="spellEnd"/>
            <w:r w:rsidRPr="004229C1">
              <w:rPr>
                <w:rFonts w:ascii="Times New Roman" w:hAnsi="Times New Roman" w:cs="Times New Roman"/>
                <w:kern w:val="0"/>
                <w:sz w:val="22"/>
                <w:szCs w:val="22"/>
                <w:lang w:val="uk-UA"/>
              </w:rPr>
              <w:t xml:space="preserve"> достатню, щоб сформувати </w:t>
            </w:r>
            <w:proofErr w:type="spellStart"/>
            <w:r w:rsidRPr="004229C1">
              <w:rPr>
                <w:rFonts w:ascii="Times New Roman" w:hAnsi="Times New Roman" w:cs="Times New Roman"/>
                <w:kern w:val="0"/>
                <w:sz w:val="22"/>
                <w:szCs w:val="22"/>
                <w:lang w:val="uk-UA"/>
              </w:rPr>
              <w:t>поiнформовану</w:t>
            </w:r>
            <w:proofErr w:type="spellEnd"/>
            <w:r w:rsidRPr="004229C1">
              <w:rPr>
                <w:rFonts w:ascii="Times New Roman" w:hAnsi="Times New Roman" w:cs="Times New Roman"/>
                <w:kern w:val="0"/>
                <w:sz w:val="22"/>
                <w:szCs w:val="22"/>
                <w:lang w:val="uk-UA"/>
              </w:rPr>
              <w:t xml:space="preserve"> думку щодо </w:t>
            </w:r>
            <w:proofErr w:type="spellStart"/>
            <w:r w:rsidRPr="004229C1">
              <w:rPr>
                <w:rFonts w:ascii="Times New Roman" w:hAnsi="Times New Roman" w:cs="Times New Roman"/>
                <w:kern w:val="0"/>
                <w:sz w:val="22"/>
                <w:szCs w:val="22"/>
                <w:lang w:val="uk-UA"/>
              </w:rPr>
              <w:t>всiх</w:t>
            </w:r>
            <w:proofErr w:type="spellEnd"/>
            <w:r w:rsidRPr="004229C1">
              <w:rPr>
                <w:rFonts w:ascii="Times New Roman" w:hAnsi="Times New Roman" w:cs="Times New Roman"/>
                <w:kern w:val="0"/>
                <w:sz w:val="22"/>
                <w:szCs w:val="22"/>
                <w:lang w:val="uk-UA"/>
              </w:rPr>
              <w:t xml:space="preserve"> питань, щодо яких будуть прийматися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w:t>
            </w:r>
          </w:p>
        </w:tc>
      </w:tr>
      <w:tr w:rsidR="007469BF" w:rsidRPr="004229C1" w14:paraId="283890B1" w14:textId="77777777">
        <w:trPr>
          <w:trHeight w:val="200"/>
        </w:trPr>
        <w:tc>
          <w:tcPr>
            <w:tcW w:w="4000" w:type="dxa"/>
            <w:tcBorders>
              <w:top w:val="single" w:sz="6" w:space="0" w:color="auto"/>
              <w:bottom w:val="single" w:sz="6" w:space="0" w:color="auto"/>
              <w:right w:val="single" w:sz="6" w:space="0" w:color="auto"/>
            </w:tcBorders>
          </w:tcPr>
          <w:p w14:paraId="174E7EF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3968FD9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0BD5E82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належить одному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тому </w:t>
            </w:r>
            <w:proofErr w:type="spellStart"/>
            <w:r w:rsidRPr="004229C1">
              <w:rPr>
                <w:rFonts w:ascii="Times New Roman" w:hAnsi="Times New Roman" w:cs="Times New Roman"/>
                <w:kern w:val="0"/>
                <w:sz w:val="22"/>
                <w:szCs w:val="22"/>
                <w:lang w:val="uk-UA"/>
              </w:rPr>
              <w:t>повiдомлення</w:t>
            </w:r>
            <w:proofErr w:type="spellEnd"/>
            <w:r w:rsidRPr="004229C1">
              <w:rPr>
                <w:rFonts w:ascii="Times New Roman" w:hAnsi="Times New Roman" w:cs="Times New Roman"/>
                <w:kern w:val="0"/>
                <w:sz w:val="22"/>
                <w:szCs w:val="22"/>
                <w:lang w:val="uk-UA"/>
              </w:rPr>
              <w:t xml:space="preserve"> про проведення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не </w:t>
            </w:r>
            <w:proofErr w:type="spellStart"/>
            <w:r w:rsidRPr="004229C1">
              <w:rPr>
                <w:rFonts w:ascii="Times New Roman" w:hAnsi="Times New Roman" w:cs="Times New Roman"/>
                <w:kern w:val="0"/>
                <w:sz w:val="22"/>
                <w:szCs w:val="22"/>
                <w:lang w:val="uk-UA"/>
              </w:rPr>
              <w:t>здiйснюється</w:t>
            </w:r>
            <w:proofErr w:type="spellEnd"/>
            <w:r w:rsidRPr="004229C1">
              <w:rPr>
                <w:rFonts w:ascii="Times New Roman" w:hAnsi="Times New Roman" w:cs="Times New Roman"/>
                <w:kern w:val="0"/>
                <w:sz w:val="22"/>
                <w:szCs w:val="22"/>
                <w:lang w:val="uk-UA"/>
              </w:rPr>
              <w:t xml:space="preserve">. Проте </w:t>
            </w:r>
            <w:proofErr w:type="spellStart"/>
            <w:r w:rsidRPr="004229C1">
              <w:rPr>
                <w:rFonts w:ascii="Times New Roman" w:hAnsi="Times New Roman" w:cs="Times New Roman"/>
                <w:kern w:val="0"/>
                <w:sz w:val="22"/>
                <w:szCs w:val="22"/>
                <w:lang w:val="uk-UA"/>
              </w:rPr>
              <w:t>пiд</w:t>
            </w:r>
            <w:proofErr w:type="spellEnd"/>
            <w:r w:rsidRPr="004229C1">
              <w:rPr>
                <w:rFonts w:ascii="Times New Roman" w:hAnsi="Times New Roman" w:cs="Times New Roman"/>
                <w:kern w:val="0"/>
                <w:sz w:val="22"/>
                <w:szCs w:val="22"/>
                <w:lang w:val="uk-UA"/>
              </w:rPr>
              <w:t xml:space="preserve"> час </w:t>
            </w:r>
            <w:proofErr w:type="spellStart"/>
            <w:r w:rsidRPr="004229C1">
              <w:rPr>
                <w:rFonts w:ascii="Times New Roman" w:hAnsi="Times New Roman" w:cs="Times New Roman"/>
                <w:kern w:val="0"/>
                <w:sz w:val="22"/>
                <w:szCs w:val="22"/>
                <w:lang w:val="uk-UA"/>
              </w:rPr>
              <w:t>пiдбору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кандидатiв</w:t>
            </w:r>
            <w:proofErr w:type="spellEnd"/>
            <w:r w:rsidRPr="004229C1">
              <w:rPr>
                <w:rFonts w:ascii="Times New Roman" w:hAnsi="Times New Roman" w:cs="Times New Roman"/>
                <w:kern w:val="0"/>
                <w:sz w:val="22"/>
                <w:szCs w:val="22"/>
                <w:lang w:val="uk-UA"/>
              </w:rPr>
              <w:t xml:space="preserve"> на посади до складу </w:t>
            </w:r>
            <w:proofErr w:type="spellStart"/>
            <w:r w:rsidRPr="004229C1">
              <w:rPr>
                <w:rFonts w:ascii="Times New Roman" w:hAnsi="Times New Roman" w:cs="Times New Roman"/>
                <w:kern w:val="0"/>
                <w:sz w:val="22"/>
                <w:szCs w:val="22"/>
                <w:lang w:val="uk-UA"/>
              </w:rPr>
              <w:t>органiв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Банку обов'язково </w:t>
            </w:r>
            <w:proofErr w:type="spellStart"/>
            <w:r w:rsidRPr="004229C1">
              <w:rPr>
                <w:rFonts w:ascii="Times New Roman" w:hAnsi="Times New Roman" w:cs="Times New Roman"/>
                <w:kern w:val="0"/>
                <w:sz w:val="22"/>
                <w:szCs w:val="22"/>
                <w:lang w:val="uk-UA"/>
              </w:rPr>
              <w:t>здiйснюється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аналiз</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перевiрка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кандидатiв</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освiти</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наявностi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професiйного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досвiду</w:t>
            </w:r>
            <w:proofErr w:type="spellEnd"/>
            <w:r w:rsidRPr="004229C1">
              <w:rPr>
                <w:rFonts w:ascii="Times New Roman" w:hAnsi="Times New Roman" w:cs="Times New Roman"/>
                <w:kern w:val="0"/>
                <w:sz w:val="22"/>
                <w:szCs w:val="22"/>
                <w:lang w:val="uk-UA"/>
              </w:rPr>
              <w:t>.</w:t>
            </w:r>
          </w:p>
        </w:tc>
      </w:tr>
      <w:tr w:rsidR="007469BF" w:rsidRPr="004229C1" w14:paraId="7E5A0B61" w14:textId="77777777">
        <w:trPr>
          <w:trHeight w:val="200"/>
        </w:trPr>
        <w:tc>
          <w:tcPr>
            <w:tcW w:w="4000" w:type="dxa"/>
            <w:tcBorders>
              <w:top w:val="single" w:sz="6" w:space="0" w:color="auto"/>
              <w:bottom w:val="single" w:sz="6" w:space="0" w:color="auto"/>
              <w:right w:val="single" w:sz="6" w:space="0" w:color="auto"/>
            </w:tcBorders>
          </w:tcPr>
          <w:p w14:paraId="1D138C5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14:paraId="11FB249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AB6B566"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w:t>
            </w:r>
            <w:proofErr w:type="spellStart"/>
            <w:r w:rsidRPr="004229C1">
              <w:rPr>
                <w:rFonts w:ascii="Times New Roman" w:hAnsi="Times New Roman" w:cs="Times New Roman"/>
                <w:kern w:val="0"/>
                <w:sz w:val="22"/>
                <w:szCs w:val="22"/>
                <w:lang w:val="uk-UA"/>
              </w:rPr>
              <w:t>однiй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особi</w:t>
            </w:r>
            <w:proofErr w:type="spellEnd"/>
            <w:r w:rsidRPr="004229C1">
              <w:rPr>
                <w:rFonts w:ascii="Times New Roman" w:hAnsi="Times New Roman" w:cs="Times New Roman"/>
                <w:kern w:val="0"/>
                <w:sz w:val="22"/>
                <w:szCs w:val="22"/>
                <w:lang w:val="uk-UA"/>
              </w:rPr>
              <w:t xml:space="preserve">. Скликання та проведення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вiдбувається</w:t>
            </w:r>
            <w:proofErr w:type="spellEnd"/>
            <w:r w:rsidRPr="004229C1">
              <w:rPr>
                <w:rFonts w:ascii="Times New Roman" w:hAnsi="Times New Roman" w:cs="Times New Roman"/>
                <w:kern w:val="0"/>
                <w:sz w:val="22"/>
                <w:szCs w:val="22"/>
                <w:lang w:val="uk-UA"/>
              </w:rPr>
              <w:t xml:space="preserve"> з урахуванням особливостей, визначених Законом про </w:t>
            </w:r>
            <w:proofErr w:type="spellStart"/>
            <w:r w:rsidRPr="004229C1">
              <w:rPr>
                <w:rFonts w:ascii="Times New Roman" w:hAnsi="Times New Roman" w:cs="Times New Roman"/>
                <w:kern w:val="0"/>
                <w:sz w:val="22"/>
                <w:szCs w:val="22"/>
                <w:lang w:val="uk-UA"/>
              </w:rPr>
              <w:t>акцiонернi</w:t>
            </w:r>
            <w:proofErr w:type="spellEnd"/>
            <w:r w:rsidRPr="004229C1">
              <w:rPr>
                <w:rFonts w:ascii="Times New Roman" w:hAnsi="Times New Roman" w:cs="Times New Roman"/>
                <w:kern w:val="0"/>
                <w:sz w:val="22"/>
                <w:szCs w:val="22"/>
                <w:lang w:val="uk-UA"/>
              </w:rPr>
              <w:t xml:space="preserve"> товариства для товариства з одним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w:t>
            </w:r>
            <w:proofErr w:type="spellEnd"/>
            <w:r w:rsidRPr="004229C1">
              <w:rPr>
                <w:rFonts w:ascii="Times New Roman" w:hAnsi="Times New Roman" w:cs="Times New Roman"/>
                <w:kern w:val="0"/>
                <w:sz w:val="22"/>
                <w:szCs w:val="22"/>
                <w:lang w:val="uk-UA"/>
              </w:rPr>
              <w:t xml:space="preserve"> завчасно отримує </w:t>
            </w:r>
            <w:proofErr w:type="spellStart"/>
            <w:r w:rsidRPr="004229C1">
              <w:rPr>
                <w:rFonts w:ascii="Times New Roman" w:hAnsi="Times New Roman" w:cs="Times New Roman"/>
                <w:kern w:val="0"/>
                <w:sz w:val="22"/>
                <w:szCs w:val="22"/>
                <w:lang w:val="uk-UA"/>
              </w:rPr>
              <w:t>матерiали</w:t>
            </w:r>
            <w:proofErr w:type="spellEnd"/>
            <w:r w:rsidRPr="004229C1">
              <w:rPr>
                <w:rFonts w:ascii="Times New Roman" w:hAnsi="Times New Roman" w:cs="Times New Roman"/>
                <w:kern w:val="0"/>
                <w:sz w:val="22"/>
                <w:szCs w:val="22"/>
                <w:lang w:val="uk-UA"/>
              </w:rPr>
              <w:t xml:space="preserve"> для прийняття </w:t>
            </w:r>
            <w:proofErr w:type="spellStart"/>
            <w:r w:rsidRPr="004229C1">
              <w:rPr>
                <w:rFonts w:ascii="Times New Roman" w:hAnsi="Times New Roman" w:cs="Times New Roman"/>
                <w:kern w:val="0"/>
                <w:sz w:val="22"/>
                <w:szCs w:val="22"/>
                <w:lang w:val="uk-UA"/>
              </w:rPr>
              <w:t>вiдповiдного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
        </w:tc>
      </w:tr>
      <w:tr w:rsidR="007469BF" w:rsidRPr="004229C1" w14:paraId="6CEA4501" w14:textId="77777777">
        <w:trPr>
          <w:trHeight w:val="200"/>
        </w:trPr>
        <w:tc>
          <w:tcPr>
            <w:tcW w:w="4000" w:type="dxa"/>
            <w:tcBorders>
              <w:top w:val="single" w:sz="6" w:space="0" w:color="auto"/>
              <w:bottom w:val="single" w:sz="6" w:space="0" w:color="auto"/>
              <w:right w:val="single" w:sz="6" w:space="0" w:color="auto"/>
            </w:tcBorders>
          </w:tcPr>
          <w:p w14:paraId="5F7375B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14:paraId="6B77892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3D491CD"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w:t>
            </w:r>
            <w:proofErr w:type="spellStart"/>
            <w:r w:rsidRPr="004229C1">
              <w:rPr>
                <w:rFonts w:ascii="Times New Roman" w:hAnsi="Times New Roman" w:cs="Times New Roman"/>
                <w:kern w:val="0"/>
                <w:sz w:val="22"/>
                <w:szCs w:val="22"/>
                <w:lang w:val="uk-UA"/>
              </w:rPr>
              <w:t>однiй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особi</w:t>
            </w:r>
            <w:proofErr w:type="spellEnd"/>
            <w:r w:rsidRPr="004229C1">
              <w:rPr>
                <w:rFonts w:ascii="Times New Roman" w:hAnsi="Times New Roman" w:cs="Times New Roman"/>
                <w:kern w:val="0"/>
                <w:sz w:val="22"/>
                <w:szCs w:val="22"/>
                <w:lang w:val="uk-UA"/>
              </w:rPr>
              <w:t xml:space="preserve">. Скликання та проведення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вiдбувається</w:t>
            </w:r>
            <w:proofErr w:type="spellEnd"/>
            <w:r w:rsidRPr="004229C1">
              <w:rPr>
                <w:rFonts w:ascii="Times New Roman" w:hAnsi="Times New Roman" w:cs="Times New Roman"/>
                <w:kern w:val="0"/>
                <w:sz w:val="22"/>
                <w:szCs w:val="22"/>
                <w:lang w:val="uk-UA"/>
              </w:rPr>
              <w:t xml:space="preserve"> з урахуванням особливостей, визначених Законом про </w:t>
            </w:r>
            <w:proofErr w:type="spellStart"/>
            <w:r w:rsidRPr="004229C1">
              <w:rPr>
                <w:rFonts w:ascii="Times New Roman" w:hAnsi="Times New Roman" w:cs="Times New Roman"/>
                <w:kern w:val="0"/>
                <w:sz w:val="22"/>
                <w:szCs w:val="22"/>
                <w:lang w:val="uk-UA"/>
              </w:rPr>
              <w:t>акцiонернi</w:t>
            </w:r>
            <w:proofErr w:type="spellEnd"/>
            <w:r w:rsidRPr="004229C1">
              <w:rPr>
                <w:rFonts w:ascii="Times New Roman" w:hAnsi="Times New Roman" w:cs="Times New Roman"/>
                <w:kern w:val="0"/>
                <w:sz w:val="22"/>
                <w:szCs w:val="22"/>
                <w:lang w:val="uk-UA"/>
              </w:rPr>
              <w:t xml:space="preserve"> товариства для товариства з одним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xml:space="preserve"> з питань, що належать до </w:t>
            </w:r>
            <w:proofErr w:type="spellStart"/>
            <w:r w:rsidRPr="004229C1">
              <w:rPr>
                <w:rFonts w:ascii="Times New Roman" w:hAnsi="Times New Roman" w:cs="Times New Roman"/>
                <w:kern w:val="0"/>
                <w:sz w:val="22"/>
                <w:szCs w:val="22"/>
                <w:lang w:val="uk-UA"/>
              </w:rPr>
              <w:t>компетенцiї</w:t>
            </w:r>
            <w:proofErr w:type="spellEnd"/>
            <w:r w:rsidRPr="004229C1">
              <w:rPr>
                <w:rFonts w:ascii="Times New Roman" w:hAnsi="Times New Roman" w:cs="Times New Roman"/>
                <w:kern w:val="0"/>
                <w:sz w:val="22"/>
                <w:szCs w:val="22"/>
                <w:lang w:val="uk-UA"/>
              </w:rPr>
              <w:t xml:space="preserve">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оформлюється ним письмово (у </w:t>
            </w:r>
            <w:proofErr w:type="spellStart"/>
            <w:r w:rsidRPr="004229C1">
              <w:rPr>
                <w:rFonts w:ascii="Times New Roman" w:hAnsi="Times New Roman" w:cs="Times New Roman"/>
                <w:kern w:val="0"/>
                <w:sz w:val="22"/>
                <w:szCs w:val="22"/>
                <w:lang w:val="uk-UA"/>
              </w:rPr>
              <w:t>формi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w:t>
            </w:r>
          </w:p>
        </w:tc>
      </w:tr>
      <w:tr w:rsidR="007469BF" w:rsidRPr="004229C1" w14:paraId="315AD2B5" w14:textId="77777777">
        <w:trPr>
          <w:trHeight w:val="200"/>
        </w:trPr>
        <w:tc>
          <w:tcPr>
            <w:tcW w:w="4000" w:type="dxa"/>
            <w:tcBorders>
              <w:top w:val="single" w:sz="6" w:space="0" w:color="auto"/>
              <w:bottom w:val="single" w:sz="6" w:space="0" w:color="auto"/>
              <w:right w:val="single" w:sz="6" w:space="0" w:color="auto"/>
            </w:tcBorders>
          </w:tcPr>
          <w:p w14:paraId="726627E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14:paraId="5415C28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1D48763"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100% </w:t>
            </w:r>
            <w:proofErr w:type="spellStart"/>
            <w:r w:rsidRPr="004229C1">
              <w:rPr>
                <w:rFonts w:ascii="Times New Roman" w:hAnsi="Times New Roman" w:cs="Times New Roman"/>
                <w:kern w:val="0"/>
                <w:sz w:val="22"/>
                <w:szCs w:val="22"/>
                <w:lang w:val="uk-UA"/>
              </w:rPr>
              <w:t>акцiй</w:t>
            </w:r>
            <w:proofErr w:type="spellEnd"/>
            <w:r w:rsidRPr="004229C1">
              <w:rPr>
                <w:rFonts w:ascii="Times New Roman" w:hAnsi="Times New Roman" w:cs="Times New Roman"/>
                <w:kern w:val="0"/>
                <w:sz w:val="22"/>
                <w:szCs w:val="22"/>
                <w:lang w:val="uk-UA"/>
              </w:rPr>
              <w:t xml:space="preserve"> Банку належать </w:t>
            </w:r>
            <w:proofErr w:type="spellStart"/>
            <w:r w:rsidRPr="004229C1">
              <w:rPr>
                <w:rFonts w:ascii="Times New Roman" w:hAnsi="Times New Roman" w:cs="Times New Roman"/>
                <w:kern w:val="0"/>
                <w:sz w:val="22"/>
                <w:szCs w:val="22"/>
                <w:lang w:val="uk-UA"/>
              </w:rPr>
              <w:t>однiй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особi</w:t>
            </w:r>
            <w:proofErr w:type="spellEnd"/>
            <w:r w:rsidRPr="004229C1">
              <w:rPr>
                <w:rFonts w:ascii="Times New Roman" w:hAnsi="Times New Roman" w:cs="Times New Roman"/>
                <w:kern w:val="0"/>
                <w:sz w:val="22"/>
                <w:szCs w:val="22"/>
                <w:lang w:val="uk-UA"/>
              </w:rPr>
              <w:t xml:space="preserve">. Скликання та проведення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вiдбувається</w:t>
            </w:r>
            <w:proofErr w:type="spellEnd"/>
            <w:r w:rsidRPr="004229C1">
              <w:rPr>
                <w:rFonts w:ascii="Times New Roman" w:hAnsi="Times New Roman" w:cs="Times New Roman"/>
                <w:kern w:val="0"/>
                <w:sz w:val="22"/>
                <w:szCs w:val="22"/>
                <w:lang w:val="uk-UA"/>
              </w:rPr>
              <w:t xml:space="preserve"> з урахуванням особливостей, визначених Законом про </w:t>
            </w:r>
            <w:proofErr w:type="spellStart"/>
            <w:r w:rsidRPr="004229C1">
              <w:rPr>
                <w:rFonts w:ascii="Times New Roman" w:hAnsi="Times New Roman" w:cs="Times New Roman"/>
                <w:kern w:val="0"/>
                <w:sz w:val="22"/>
                <w:szCs w:val="22"/>
                <w:lang w:val="uk-UA"/>
              </w:rPr>
              <w:t>акцiонернi</w:t>
            </w:r>
            <w:proofErr w:type="spellEnd"/>
            <w:r w:rsidRPr="004229C1">
              <w:rPr>
                <w:rFonts w:ascii="Times New Roman" w:hAnsi="Times New Roman" w:cs="Times New Roman"/>
                <w:kern w:val="0"/>
                <w:sz w:val="22"/>
                <w:szCs w:val="22"/>
                <w:lang w:val="uk-UA"/>
              </w:rPr>
              <w:t xml:space="preserve"> товариства для товариства з одним </w:t>
            </w:r>
            <w:proofErr w:type="spellStart"/>
            <w:r w:rsidRPr="004229C1">
              <w:rPr>
                <w:rFonts w:ascii="Times New Roman" w:hAnsi="Times New Roman" w:cs="Times New Roman"/>
                <w:kern w:val="0"/>
                <w:sz w:val="22"/>
                <w:szCs w:val="22"/>
                <w:lang w:val="uk-UA"/>
              </w:rPr>
              <w:t>акцiонером</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xml:space="preserve"> з питань, що належать до </w:t>
            </w:r>
            <w:proofErr w:type="spellStart"/>
            <w:r w:rsidRPr="004229C1">
              <w:rPr>
                <w:rFonts w:ascii="Times New Roman" w:hAnsi="Times New Roman" w:cs="Times New Roman"/>
                <w:kern w:val="0"/>
                <w:sz w:val="22"/>
                <w:szCs w:val="22"/>
                <w:lang w:val="uk-UA"/>
              </w:rPr>
              <w:t>компетенцiї</w:t>
            </w:r>
            <w:proofErr w:type="spellEnd"/>
            <w:r w:rsidRPr="004229C1">
              <w:rPr>
                <w:rFonts w:ascii="Times New Roman" w:hAnsi="Times New Roman" w:cs="Times New Roman"/>
                <w:kern w:val="0"/>
                <w:sz w:val="22"/>
                <w:szCs w:val="22"/>
                <w:lang w:val="uk-UA"/>
              </w:rPr>
              <w:t xml:space="preserve">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оформлюється ним письмово (у </w:t>
            </w:r>
            <w:proofErr w:type="spellStart"/>
            <w:r w:rsidRPr="004229C1">
              <w:rPr>
                <w:rFonts w:ascii="Times New Roman" w:hAnsi="Times New Roman" w:cs="Times New Roman"/>
                <w:kern w:val="0"/>
                <w:sz w:val="22"/>
                <w:szCs w:val="22"/>
                <w:lang w:val="uk-UA"/>
              </w:rPr>
              <w:t>формi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
        </w:tc>
      </w:tr>
      <w:tr w:rsidR="007469BF" w:rsidRPr="004229C1" w14:paraId="3FBC1196" w14:textId="77777777">
        <w:trPr>
          <w:trHeight w:val="200"/>
        </w:trPr>
        <w:tc>
          <w:tcPr>
            <w:tcW w:w="4000" w:type="dxa"/>
            <w:tcBorders>
              <w:top w:val="single" w:sz="6" w:space="0" w:color="auto"/>
              <w:bottom w:val="single" w:sz="6" w:space="0" w:color="auto"/>
              <w:right w:val="single" w:sz="6" w:space="0" w:color="auto"/>
            </w:tcBorders>
          </w:tcPr>
          <w:p w14:paraId="0452394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Детальний регламент проведення загальних 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14:paraId="616B41B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AC5C24E"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визначено детальний регламент щодо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xml:space="preserve"> у Банку - Глава 8.</w:t>
            </w:r>
          </w:p>
        </w:tc>
      </w:tr>
      <w:tr w:rsidR="007469BF" w:rsidRPr="004229C1" w14:paraId="4BB109E4" w14:textId="77777777">
        <w:trPr>
          <w:trHeight w:val="200"/>
        </w:trPr>
        <w:tc>
          <w:tcPr>
            <w:tcW w:w="4000" w:type="dxa"/>
            <w:tcBorders>
              <w:top w:val="single" w:sz="6" w:space="0" w:color="auto"/>
              <w:bottom w:val="single" w:sz="6" w:space="0" w:color="auto"/>
              <w:right w:val="single" w:sz="6" w:space="0" w:color="auto"/>
            </w:tcBorders>
          </w:tcPr>
          <w:p w14:paraId="2CFB8D0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495DD76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301C608F"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xml:space="preserve"> Банку, який має статус протоколу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належно оформлений, розкривається у строки </w:t>
            </w:r>
            <w:proofErr w:type="spellStart"/>
            <w:r w:rsidRPr="004229C1">
              <w:rPr>
                <w:rFonts w:ascii="Times New Roman" w:hAnsi="Times New Roman" w:cs="Times New Roman"/>
                <w:kern w:val="0"/>
                <w:sz w:val="22"/>
                <w:szCs w:val="22"/>
                <w:lang w:val="uk-UA"/>
              </w:rPr>
              <w:t>визначенi</w:t>
            </w:r>
            <w:proofErr w:type="spellEnd"/>
            <w:r w:rsidRPr="004229C1">
              <w:rPr>
                <w:rFonts w:ascii="Times New Roman" w:hAnsi="Times New Roman" w:cs="Times New Roman"/>
                <w:kern w:val="0"/>
                <w:sz w:val="22"/>
                <w:szCs w:val="22"/>
                <w:lang w:val="uk-UA"/>
              </w:rPr>
              <w:t xml:space="preserve"> законодавством.</w:t>
            </w:r>
          </w:p>
        </w:tc>
      </w:tr>
      <w:tr w:rsidR="007469BF" w:rsidRPr="004229C1" w14:paraId="2C886462" w14:textId="77777777">
        <w:trPr>
          <w:trHeight w:val="200"/>
        </w:trPr>
        <w:tc>
          <w:tcPr>
            <w:tcW w:w="4000" w:type="dxa"/>
            <w:tcBorders>
              <w:top w:val="single" w:sz="6" w:space="0" w:color="auto"/>
              <w:bottom w:val="single" w:sz="6" w:space="0" w:color="auto"/>
              <w:right w:val="single" w:sz="6" w:space="0" w:color="auto"/>
            </w:tcBorders>
          </w:tcPr>
          <w:p w14:paraId="61D555A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Адреса </w:t>
            </w:r>
            <w:proofErr w:type="spellStart"/>
            <w:r w:rsidRPr="004229C1">
              <w:rPr>
                <w:rFonts w:ascii="Times New Roman" w:hAnsi="Times New Roman" w:cs="Times New Roman"/>
                <w:kern w:val="0"/>
                <w:sz w:val="22"/>
                <w:szCs w:val="22"/>
                <w:lang w:val="uk-UA"/>
              </w:rPr>
              <w:t>вебсайту</w:t>
            </w:r>
            <w:proofErr w:type="spellEnd"/>
            <w:r w:rsidRPr="004229C1">
              <w:rPr>
                <w:rFonts w:ascii="Times New Roman" w:hAnsi="Times New Roman" w:cs="Times New Roman"/>
                <w:kern w:val="0"/>
                <w:sz w:val="22"/>
                <w:szCs w:val="22"/>
                <w:lang w:val="uk-UA"/>
              </w:rPr>
              <w:t xml:space="preserve">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5043E21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5745D1A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 </w:t>
            </w:r>
            <w:proofErr w:type="spellStart"/>
            <w:r w:rsidRPr="004229C1">
              <w:rPr>
                <w:rFonts w:ascii="Times New Roman" w:hAnsi="Times New Roman" w:cs="Times New Roman"/>
                <w:kern w:val="0"/>
                <w:sz w:val="22"/>
                <w:szCs w:val="22"/>
                <w:lang w:val="uk-UA"/>
              </w:rPr>
              <w:t>вебсайтi</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розмiщується</w:t>
            </w:r>
            <w:proofErr w:type="spellEnd"/>
            <w:r w:rsidRPr="004229C1">
              <w:rPr>
                <w:rFonts w:ascii="Times New Roman" w:hAnsi="Times New Roman" w:cs="Times New Roman"/>
                <w:kern w:val="0"/>
                <w:sz w:val="22"/>
                <w:szCs w:val="22"/>
                <w:lang w:val="uk-UA"/>
              </w:rPr>
              <w:t xml:space="preserve"> вся </w:t>
            </w:r>
            <w:proofErr w:type="spellStart"/>
            <w:r w:rsidRPr="004229C1">
              <w:rPr>
                <w:rFonts w:ascii="Times New Roman" w:hAnsi="Times New Roman" w:cs="Times New Roman"/>
                <w:kern w:val="0"/>
                <w:sz w:val="22"/>
                <w:szCs w:val="22"/>
                <w:lang w:val="uk-UA"/>
              </w:rPr>
              <w:t>необхiдна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iнформацiя</w:t>
            </w:r>
            <w:proofErr w:type="spellEnd"/>
            <w:r w:rsidRPr="004229C1">
              <w:rPr>
                <w:rFonts w:ascii="Times New Roman" w:hAnsi="Times New Roman" w:cs="Times New Roman"/>
                <w:kern w:val="0"/>
                <w:sz w:val="22"/>
                <w:szCs w:val="22"/>
                <w:lang w:val="uk-UA"/>
              </w:rPr>
              <w:t xml:space="preserve">, що сприяє </w:t>
            </w:r>
            <w:proofErr w:type="spellStart"/>
            <w:r w:rsidRPr="004229C1">
              <w:rPr>
                <w:rFonts w:ascii="Times New Roman" w:hAnsi="Times New Roman" w:cs="Times New Roman"/>
                <w:kern w:val="0"/>
                <w:sz w:val="22"/>
                <w:szCs w:val="22"/>
                <w:lang w:val="uk-UA"/>
              </w:rPr>
              <w:t>участi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прийняттi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iнформацiя</w:t>
            </w:r>
            <w:proofErr w:type="spellEnd"/>
            <w:r w:rsidRPr="004229C1">
              <w:rPr>
                <w:rFonts w:ascii="Times New Roman" w:hAnsi="Times New Roman" w:cs="Times New Roman"/>
                <w:kern w:val="0"/>
                <w:sz w:val="22"/>
                <w:szCs w:val="22"/>
                <w:lang w:val="uk-UA"/>
              </w:rPr>
              <w:t xml:space="preserve"> про вже </w:t>
            </w:r>
            <w:proofErr w:type="spellStart"/>
            <w:r w:rsidRPr="004229C1">
              <w:rPr>
                <w:rFonts w:ascii="Times New Roman" w:hAnsi="Times New Roman" w:cs="Times New Roman"/>
                <w:kern w:val="0"/>
                <w:sz w:val="22"/>
                <w:szCs w:val="22"/>
                <w:lang w:val="uk-UA"/>
              </w:rPr>
              <w:t>прийнятi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w:t>
            </w:r>
          </w:p>
        </w:tc>
      </w:tr>
      <w:tr w:rsidR="007469BF" w:rsidRPr="004229C1" w14:paraId="4F0E8D58" w14:textId="77777777">
        <w:trPr>
          <w:trHeight w:val="200"/>
        </w:trPr>
        <w:tc>
          <w:tcPr>
            <w:tcW w:w="10000" w:type="dxa"/>
            <w:gridSpan w:val="3"/>
            <w:tcBorders>
              <w:top w:val="single" w:sz="6" w:space="0" w:color="auto"/>
              <w:bottom w:val="single" w:sz="6" w:space="0" w:color="auto"/>
            </w:tcBorders>
          </w:tcPr>
          <w:p w14:paraId="077FDB5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2) взаємодія з акціонерами</w:t>
            </w:r>
          </w:p>
        </w:tc>
      </w:tr>
      <w:tr w:rsidR="007469BF" w:rsidRPr="004229C1" w14:paraId="7DF9A13C" w14:textId="77777777">
        <w:trPr>
          <w:trHeight w:val="200"/>
        </w:trPr>
        <w:tc>
          <w:tcPr>
            <w:tcW w:w="4000" w:type="dxa"/>
            <w:tcBorders>
              <w:top w:val="single" w:sz="6" w:space="0" w:color="auto"/>
              <w:bottom w:val="single" w:sz="6" w:space="0" w:color="auto"/>
              <w:right w:val="single" w:sz="6" w:space="0" w:color="auto"/>
            </w:tcBorders>
          </w:tcPr>
          <w:p w14:paraId="7C5142A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14:paraId="5477112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76D9009E"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Питання </w:t>
            </w:r>
            <w:proofErr w:type="spellStart"/>
            <w:r w:rsidRPr="004229C1">
              <w:rPr>
                <w:rFonts w:ascii="Times New Roman" w:hAnsi="Times New Roman" w:cs="Times New Roman"/>
                <w:kern w:val="0"/>
                <w:sz w:val="22"/>
                <w:szCs w:val="22"/>
                <w:lang w:val="uk-UA"/>
              </w:rPr>
              <w:t>взаємодiї</w:t>
            </w:r>
            <w:proofErr w:type="spellEnd"/>
            <w:r w:rsidRPr="004229C1">
              <w:rPr>
                <w:rFonts w:ascii="Times New Roman" w:hAnsi="Times New Roman" w:cs="Times New Roman"/>
                <w:kern w:val="0"/>
                <w:sz w:val="22"/>
                <w:szCs w:val="22"/>
                <w:lang w:val="uk-UA"/>
              </w:rPr>
              <w:t xml:space="preserve"> Банку з </w:t>
            </w:r>
            <w:proofErr w:type="spellStart"/>
            <w:r w:rsidRPr="004229C1">
              <w:rPr>
                <w:rFonts w:ascii="Times New Roman" w:hAnsi="Times New Roman" w:cs="Times New Roman"/>
                <w:kern w:val="0"/>
                <w:sz w:val="22"/>
                <w:szCs w:val="22"/>
                <w:lang w:val="uk-UA"/>
              </w:rPr>
              <w:t>акцiонерами</w:t>
            </w:r>
            <w:proofErr w:type="spellEnd"/>
            <w:r w:rsidRPr="004229C1">
              <w:rPr>
                <w:rFonts w:ascii="Times New Roman" w:hAnsi="Times New Roman" w:cs="Times New Roman"/>
                <w:kern w:val="0"/>
                <w:sz w:val="22"/>
                <w:szCs w:val="22"/>
                <w:lang w:val="uk-UA"/>
              </w:rPr>
              <w:t xml:space="preserve"> регулюються нормами чинного законодавства, Статутом Банку.</w:t>
            </w:r>
          </w:p>
        </w:tc>
      </w:tr>
      <w:tr w:rsidR="007469BF" w:rsidRPr="004229C1" w14:paraId="0D7B19B6" w14:textId="77777777">
        <w:trPr>
          <w:trHeight w:val="200"/>
        </w:trPr>
        <w:tc>
          <w:tcPr>
            <w:tcW w:w="4000" w:type="dxa"/>
            <w:tcBorders>
              <w:top w:val="single" w:sz="6" w:space="0" w:color="auto"/>
              <w:bottom w:val="single" w:sz="6" w:space="0" w:color="auto"/>
              <w:right w:val="single" w:sz="6" w:space="0" w:color="auto"/>
            </w:tcBorders>
          </w:tcPr>
          <w:p w14:paraId="6CAB741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14:paraId="08920CA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5FBF1E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За </w:t>
            </w:r>
            <w:proofErr w:type="spellStart"/>
            <w:r w:rsidRPr="004229C1">
              <w:rPr>
                <w:rFonts w:ascii="Times New Roman" w:hAnsi="Times New Roman" w:cs="Times New Roman"/>
                <w:kern w:val="0"/>
                <w:sz w:val="22"/>
                <w:szCs w:val="22"/>
                <w:lang w:val="uk-UA"/>
              </w:rPr>
              <w:t>взаємодiю</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акцiонерами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департамент юридичної </w:t>
            </w:r>
            <w:proofErr w:type="spellStart"/>
            <w:r w:rsidRPr="004229C1">
              <w:rPr>
                <w:rFonts w:ascii="Times New Roman" w:hAnsi="Times New Roman" w:cs="Times New Roman"/>
                <w:kern w:val="0"/>
                <w:sz w:val="22"/>
                <w:szCs w:val="22"/>
                <w:lang w:val="uk-UA"/>
              </w:rPr>
              <w:t>пiдтримки</w:t>
            </w:r>
            <w:proofErr w:type="spellEnd"/>
            <w:r w:rsidRPr="004229C1">
              <w:rPr>
                <w:rFonts w:ascii="Times New Roman" w:hAnsi="Times New Roman" w:cs="Times New Roman"/>
                <w:kern w:val="0"/>
                <w:sz w:val="22"/>
                <w:szCs w:val="22"/>
                <w:lang w:val="uk-UA"/>
              </w:rPr>
              <w:t xml:space="preserve"> та генерального </w:t>
            </w:r>
            <w:proofErr w:type="spellStart"/>
            <w:r w:rsidRPr="004229C1">
              <w:rPr>
                <w:rFonts w:ascii="Times New Roman" w:hAnsi="Times New Roman" w:cs="Times New Roman"/>
                <w:kern w:val="0"/>
                <w:sz w:val="22"/>
                <w:szCs w:val="22"/>
                <w:lang w:val="uk-UA"/>
              </w:rPr>
              <w:t>секретарiату</w:t>
            </w:r>
            <w:proofErr w:type="spellEnd"/>
            <w:r w:rsidRPr="004229C1">
              <w:rPr>
                <w:rFonts w:ascii="Times New Roman" w:hAnsi="Times New Roman" w:cs="Times New Roman"/>
                <w:kern w:val="0"/>
                <w:sz w:val="22"/>
                <w:szCs w:val="22"/>
                <w:lang w:val="uk-UA"/>
              </w:rPr>
              <w:t>, корпоративний секретар.</w:t>
            </w:r>
          </w:p>
        </w:tc>
      </w:tr>
      <w:tr w:rsidR="007469BF" w:rsidRPr="004229C1" w14:paraId="059DF030" w14:textId="77777777">
        <w:trPr>
          <w:trHeight w:val="200"/>
        </w:trPr>
        <w:tc>
          <w:tcPr>
            <w:tcW w:w="10000" w:type="dxa"/>
            <w:gridSpan w:val="3"/>
            <w:tcBorders>
              <w:top w:val="single" w:sz="6" w:space="0" w:color="auto"/>
              <w:bottom w:val="single" w:sz="6" w:space="0" w:color="auto"/>
            </w:tcBorders>
          </w:tcPr>
          <w:p w14:paraId="46960DD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3) поглинання</w:t>
            </w:r>
          </w:p>
        </w:tc>
      </w:tr>
      <w:tr w:rsidR="007469BF" w:rsidRPr="004229C1" w14:paraId="52AE5819" w14:textId="77777777">
        <w:trPr>
          <w:trHeight w:val="200"/>
        </w:trPr>
        <w:tc>
          <w:tcPr>
            <w:tcW w:w="4000" w:type="dxa"/>
            <w:tcBorders>
              <w:top w:val="single" w:sz="6" w:space="0" w:color="auto"/>
              <w:bottom w:val="single" w:sz="6" w:space="0" w:color="auto"/>
              <w:right w:val="single" w:sz="6" w:space="0" w:color="auto"/>
            </w:tcBorders>
          </w:tcPr>
          <w:p w14:paraId="1714175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Радою визначено принципи, як вона діятиме у разі пропозиції щодо поглинання, зокрема:</w:t>
            </w:r>
          </w:p>
          <w:p w14:paraId="78CF228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 не вчиняти дії щодо протидії поглинанню без відповідного рішення загальних зборів;</w:t>
            </w:r>
          </w:p>
          <w:p w14:paraId="3D6CF71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 надавати акціонерам збалансований аналіз недоліків і переваг будь-якої пропозиції щодо поглинання;</w:t>
            </w:r>
          </w:p>
          <w:p w14:paraId="18507AB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14:paraId="6281536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1669F08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Радою не </w:t>
            </w:r>
            <w:proofErr w:type="spellStart"/>
            <w:r w:rsidRPr="004229C1">
              <w:rPr>
                <w:rFonts w:ascii="Times New Roman" w:hAnsi="Times New Roman" w:cs="Times New Roman"/>
                <w:kern w:val="0"/>
                <w:sz w:val="22"/>
                <w:szCs w:val="22"/>
                <w:lang w:val="uk-UA"/>
              </w:rPr>
              <w:t>визначенi</w:t>
            </w:r>
            <w:proofErr w:type="spellEnd"/>
            <w:r w:rsidRPr="004229C1">
              <w:rPr>
                <w:rFonts w:ascii="Times New Roman" w:hAnsi="Times New Roman" w:cs="Times New Roman"/>
                <w:kern w:val="0"/>
                <w:sz w:val="22"/>
                <w:szCs w:val="22"/>
                <w:lang w:val="uk-UA"/>
              </w:rPr>
              <w:t xml:space="preserve"> принципи у </w:t>
            </w:r>
            <w:proofErr w:type="spellStart"/>
            <w:r w:rsidRPr="004229C1">
              <w:rPr>
                <w:rFonts w:ascii="Times New Roman" w:hAnsi="Times New Roman" w:cs="Times New Roman"/>
                <w:kern w:val="0"/>
                <w:sz w:val="22"/>
                <w:szCs w:val="22"/>
                <w:lang w:val="uk-UA"/>
              </w:rPr>
              <w:t>разi</w:t>
            </w:r>
            <w:proofErr w:type="spellEnd"/>
            <w:r w:rsidRPr="004229C1">
              <w:rPr>
                <w:rFonts w:ascii="Times New Roman" w:hAnsi="Times New Roman" w:cs="Times New Roman"/>
                <w:kern w:val="0"/>
                <w:sz w:val="22"/>
                <w:szCs w:val="22"/>
                <w:lang w:val="uk-UA"/>
              </w:rPr>
              <w:t xml:space="preserve"> поглинання, але Статутом та Положенням про Наглядову раду Банку </w:t>
            </w:r>
            <w:proofErr w:type="spellStart"/>
            <w:r w:rsidRPr="004229C1">
              <w:rPr>
                <w:rFonts w:ascii="Times New Roman" w:hAnsi="Times New Roman" w:cs="Times New Roman"/>
                <w:kern w:val="0"/>
                <w:sz w:val="22"/>
                <w:szCs w:val="22"/>
                <w:lang w:val="uk-UA"/>
              </w:rPr>
              <w:t>закрiпленi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основнi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функцiї</w:t>
            </w:r>
            <w:proofErr w:type="spellEnd"/>
            <w:r w:rsidRPr="004229C1">
              <w:rPr>
                <w:rFonts w:ascii="Times New Roman" w:hAnsi="Times New Roman" w:cs="Times New Roman"/>
                <w:kern w:val="0"/>
                <w:sz w:val="22"/>
                <w:szCs w:val="22"/>
                <w:lang w:val="uk-UA"/>
              </w:rPr>
              <w:t xml:space="preserve"> та повноваження Наглядової Ради, основоположним принципом яких, є те що, Наглядова Рада є </w:t>
            </w:r>
            <w:proofErr w:type="spellStart"/>
            <w:r w:rsidRPr="004229C1">
              <w:rPr>
                <w:rFonts w:ascii="Times New Roman" w:hAnsi="Times New Roman" w:cs="Times New Roman"/>
                <w:kern w:val="0"/>
                <w:sz w:val="22"/>
                <w:szCs w:val="22"/>
                <w:lang w:val="uk-UA"/>
              </w:rPr>
              <w:t>колегiальним</w:t>
            </w:r>
            <w:proofErr w:type="spellEnd"/>
            <w:r w:rsidRPr="004229C1">
              <w:rPr>
                <w:rFonts w:ascii="Times New Roman" w:hAnsi="Times New Roman" w:cs="Times New Roman"/>
                <w:kern w:val="0"/>
                <w:sz w:val="22"/>
                <w:szCs w:val="22"/>
                <w:lang w:val="uk-UA"/>
              </w:rPr>
              <w:t xml:space="preserve"> органом, що </w:t>
            </w:r>
            <w:proofErr w:type="spellStart"/>
            <w:r w:rsidRPr="004229C1">
              <w:rPr>
                <w:rFonts w:ascii="Times New Roman" w:hAnsi="Times New Roman" w:cs="Times New Roman"/>
                <w:kern w:val="0"/>
                <w:sz w:val="22"/>
                <w:szCs w:val="22"/>
                <w:lang w:val="uk-UA"/>
              </w:rPr>
              <w:t>здiйснює</w:t>
            </w:r>
            <w:proofErr w:type="spellEnd"/>
            <w:r w:rsidRPr="004229C1">
              <w:rPr>
                <w:rFonts w:ascii="Times New Roman" w:hAnsi="Times New Roman" w:cs="Times New Roman"/>
                <w:kern w:val="0"/>
                <w:sz w:val="22"/>
                <w:szCs w:val="22"/>
                <w:lang w:val="uk-UA"/>
              </w:rPr>
              <w:t xml:space="preserve"> захист прав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дiє</w:t>
            </w:r>
            <w:proofErr w:type="spellEnd"/>
            <w:r w:rsidRPr="004229C1">
              <w:rPr>
                <w:rFonts w:ascii="Times New Roman" w:hAnsi="Times New Roman" w:cs="Times New Roman"/>
                <w:kern w:val="0"/>
                <w:sz w:val="22"/>
                <w:szCs w:val="22"/>
                <w:lang w:val="uk-UA"/>
              </w:rPr>
              <w:t xml:space="preserve"> виключно в </w:t>
            </w:r>
            <w:proofErr w:type="spellStart"/>
            <w:r w:rsidRPr="004229C1">
              <w:rPr>
                <w:rFonts w:ascii="Times New Roman" w:hAnsi="Times New Roman" w:cs="Times New Roman"/>
                <w:kern w:val="0"/>
                <w:sz w:val="22"/>
                <w:szCs w:val="22"/>
                <w:lang w:val="uk-UA"/>
              </w:rPr>
              <w:t>iнтересах</w:t>
            </w:r>
            <w:proofErr w:type="spellEnd"/>
            <w:r w:rsidRPr="004229C1">
              <w:rPr>
                <w:rFonts w:ascii="Times New Roman" w:hAnsi="Times New Roman" w:cs="Times New Roman"/>
                <w:kern w:val="0"/>
                <w:sz w:val="22"/>
                <w:szCs w:val="22"/>
                <w:lang w:val="uk-UA"/>
              </w:rPr>
              <w:t xml:space="preserve"> Банку i </w:t>
            </w:r>
            <w:proofErr w:type="spellStart"/>
            <w:r w:rsidRPr="004229C1">
              <w:rPr>
                <w:rFonts w:ascii="Times New Roman" w:hAnsi="Times New Roman" w:cs="Times New Roman"/>
                <w:kern w:val="0"/>
                <w:sz w:val="22"/>
                <w:szCs w:val="22"/>
                <w:lang w:val="uk-UA"/>
              </w:rPr>
              <w:t>акцiонерiв</w:t>
            </w:r>
            <w:proofErr w:type="spellEnd"/>
            <w:r w:rsidRPr="004229C1">
              <w:rPr>
                <w:rFonts w:ascii="Times New Roman" w:hAnsi="Times New Roman" w:cs="Times New Roman"/>
                <w:kern w:val="0"/>
                <w:sz w:val="22"/>
                <w:szCs w:val="22"/>
                <w:lang w:val="uk-UA"/>
              </w:rPr>
              <w:t>, в межах чинного законодавства.</w:t>
            </w:r>
          </w:p>
          <w:p w14:paraId="793D883D" w14:textId="77777777" w:rsidR="007469BF" w:rsidRPr="004229C1" w:rsidRDefault="007469B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p w14:paraId="48A08F82"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передбачено, що </w:t>
            </w:r>
            <w:proofErr w:type="spellStart"/>
            <w:r w:rsidRPr="004229C1">
              <w:rPr>
                <w:rFonts w:ascii="Times New Roman" w:hAnsi="Times New Roman" w:cs="Times New Roman"/>
                <w:kern w:val="0"/>
                <w:sz w:val="22"/>
                <w:szCs w:val="22"/>
                <w:lang w:val="uk-UA"/>
              </w:rPr>
              <w:t>лiквiдацiя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реорганiзацiя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здiйснюється</w:t>
            </w:r>
            <w:proofErr w:type="spellEnd"/>
            <w:r w:rsidRPr="004229C1">
              <w:rPr>
                <w:rFonts w:ascii="Times New Roman" w:hAnsi="Times New Roman" w:cs="Times New Roman"/>
                <w:kern w:val="0"/>
                <w:sz w:val="22"/>
                <w:szCs w:val="22"/>
                <w:lang w:val="uk-UA"/>
              </w:rPr>
              <w:t xml:space="preserve"> за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акцiонерiв</w:t>
            </w:r>
            <w:proofErr w:type="spellEnd"/>
          </w:p>
        </w:tc>
      </w:tr>
      <w:tr w:rsidR="007469BF" w:rsidRPr="004229C1" w14:paraId="346B33D3" w14:textId="77777777">
        <w:trPr>
          <w:trHeight w:val="200"/>
        </w:trPr>
        <w:tc>
          <w:tcPr>
            <w:tcW w:w="10000" w:type="dxa"/>
            <w:gridSpan w:val="3"/>
            <w:tcBorders>
              <w:top w:val="single" w:sz="6" w:space="0" w:color="auto"/>
              <w:bottom w:val="single" w:sz="6" w:space="0" w:color="auto"/>
            </w:tcBorders>
          </w:tcPr>
          <w:p w14:paraId="0576AA2D"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 xml:space="preserve">4) інші </w:t>
            </w:r>
            <w:proofErr w:type="spellStart"/>
            <w:r w:rsidRPr="004229C1">
              <w:rPr>
                <w:rFonts w:ascii="Times New Roman" w:hAnsi="Times New Roman" w:cs="Times New Roman"/>
                <w:b/>
                <w:bCs/>
                <w:kern w:val="0"/>
                <w:sz w:val="22"/>
                <w:szCs w:val="22"/>
                <w:lang w:val="uk-UA"/>
              </w:rPr>
              <w:t>стейкхолдери</w:t>
            </w:r>
            <w:proofErr w:type="spellEnd"/>
            <w:r w:rsidRPr="004229C1">
              <w:rPr>
                <w:rFonts w:ascii="Times New Roman" w:hAnsi="Times New Roman" w:cs="Times New Roman"/>
                <w:b/>
                <w:bCs/>
                <w:kern w:val="0"/>
                <w:sz w:val="22"/>
                <w:szCs w:val="22"/>
                <w:lang w:val="uk-UA"/>
              </w:rPr>
              <w:t xml:space="preserve"> </w:t>
            </w:r>
          </w:p>
        </w:tc>
      </w:tr>
      <w:tr w:rsidR="007469BF" w:rsidRPr="004229C1" w14:paraId="399382F6" w14:textId="77777777">
        <w:trPr>
          <w:trHeight w:val="200"/>
        </w:trPr>
        <w:tc>
          <w:tcPr>
            <w:tcW w:w="4000" w:type="dxa"/>
            <w:tcBorders>
              <w:top w:val="single" w:sz="6" w:space="0" w:color="auto"/>
              <w:bottom w:val="single" w:sz="6" w:space="0" w:color="auto"/>
              <w:right w:val="single" w:sz="6" w:space="0" w:color="auto"/>
            </w:tcBorders>
          </w:tcPr>
          <w:p w14:paraId="0FAFF75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00" w:type="dxa"/>
            <w:tcBorders>
              <w:top w:val="single" w:sz="6" w:space="0" w:color="auto"/>
              <w:left w:val="single" w:sz="6" w:space="0" w:color="auto"/>
              <w:bottom w:val="single" w:sz="6" w:space="0" w:color="auto"/>
              <w:right w:val="single" w:sz="6" w:space="0" w:color="auto"/>
            </w:tcBorders>
          </w:tcPr>
          <w:p w14:paraId="6CB0048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37AB16B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Полiтика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взаємодiї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стейкхолдерами</w:t>
            </w:r>
            <w:proofErr w:type="spellEnd"/>
            <w:r w:rsidRPr="004229C1">
              <w:rPr>
                <w:rFonts w:ascii="Times New Roman" w:hAnsi="Times New Roman" w:cs="Times New Roman"/>
                <w:kern w:val="0"/>
                <w:sz w:val="22"/>
                <w:szCs w:val="22"/>
                <w:lang w:val="uk-UA"/>
              </w:rPr>
              <w:t xml:space="preserve"> не затверджена Наглядовою Радою Банку </w:t>
            </w:r>
          </w:p>
        </w:tc>
      </w:tr>
      <w:tr w:rsidR="007469BF" w:rsidRPr="004229C1" w14:paraId="6A8E4411" w14:textId="77777777">
        <w:trPr>
          <w:trHeight w:val="200"/>
        </w:trPr>
        <w:tc>
          <w:tcPr>
            <w:tcW w:w="4000" w:type="dxa"/>
            <w:tcBorders>
              <w:top w:val="single" w:sz="6" w:space="0" w:color="auto"/>
              <w:bottom w:val="single" w:sz="6" w:space="0" w:color="auto"/>
              <w:right w:val="single" w:sz="6" w:space="0" w:color="auto"/>
            </w:tcBorders>
          </w:tcPr>
          <w:p w14:paraId="6B13E35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Особою визначено перелік своїх стейкхолдерів,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14:paraId="750587D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70398AC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Внутрiшнi</w:t>
            </w:r>
            <w:proofErr w:type="spellEnd"/>
            <w:r w:rsidRPr="004229C1">
              <w:rPr>
                <w:rFonts w:ascii="Times New Roman" w:hAnsi="Times New Roman" w:cs="Times New Roman"/>
                <w:kern w:val="0"/>
                <w:sz w:val="22"/>
                <w:szCs w:val="22"/>
                <w:lang w:val="uk-UA"/>
              </w:rPr>
              <w:t xml:space="preserve"> документи Банку </w:t>
            </w:r>
            <w:proofErr w:type="spellStart"/>
            <w:r w:rsidRPr="004229C1">
              <w:rPr>
                <w:rFonts w:ascii="Times New Roman" w:hAnsi="Times New Roman" w:cs="Times New Roman"/>
                <w:kern w:val="0"/>
                <w:sz w:val="22"/>
                <w:szCs w:val="22"/>
                <w:lang w:val="uk-UA"/>
              </w:rPr>
              <w:t>розробленi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вiдповiдно</w:t>
            </w:r>
            <w:proofErr w:type="spellEnd"/>
            <w:r w:rsidRPr="004229C1">
              <w:rPr>
                <w:rFonts w:ascii="Times New Roman" w:hAnsi="Times New Roman" w:cs="Times New Roman"/>
                <w:kern w:val="0"/>
                <w:sz w:val="22"/>
                <w:szCs w:val="22"/>
                <w:lang w:val="uk-UA"/>
              </w:rPr>
              <w:t xml:space="preserve"> до вимог чинного законодавства. Окремого </w:t>
            </w:r>
            <w:proofErr w:type="spellStart"/>
            <w:r w:rsidRPr="004229C1">
              <w:rPr>
                <w:rFonts w:ascii="Times New Roman" w:hAnsi="Times New Roman" w:cs="Times New Roman"/>
                <w:kern w:val="0"/>
                <w:sz w:val="22"/>
                <w:szCs w:val="22"/>
                <w:lang w:val="uk-UA"/>
              </w:rPr>
              <w:t>перелiку</w:t>
            </w:r>
            <w:proofErr w:type="spellEnd"/>
            <w:r w:rsidRPr="004229C1">
              <w:rPr>
                <w:rFonts w:ascii="Times New Roman" w:hAnsi="Times New Roman" w:cs="Times New Roman"/>
                <w:kern w:val="0"/>
                <w:sz w:val="22"/>
                <w:szCs w:val="22"/>
                <w:lang w:val="uk-UA"/>
              </w:rPr>
              <w:t xml:space="preserve"> не визначено.</w:t>
            </w:r>
          </w:p>
        </w:tc>
      </w:tr>
      <w:tr w:rsidR="007469BF" w:rsidRPr="004229C1" w14:paraId="7581C574" w14:textId="77777777">
        <w:trPr>
          <w:trHeight w:val="200"/>
        </w:trPr>
        <w:tc>
          <w:tcPr>
            <w:tcW w:w="4000" w:type="dxa"/>
            <w:tcBorders>
              <w:top w:val="single" w:sz="6" w:space="0" w:color="auto"/>
              <w:bottom w:val="single" w:sz="6" w:space="0" w:color="auto"/>
              <w:right w:val="single" w:sz="6" w:space="0" w:color="auto"/>
            </w:tcBorders>
          </w:tcPr>
          <w:p w14:paraId="6ED6348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Особа розкриває звіт щодо аспектів взаємодії зі стейкхолдерами</w:t>
            </w:r>
          </w:p>
        </w:tc>
        <w:tc>
          <w:tcPr>
            <w:tcW w:w="1500" w:type="dxa"/>
            <w:tcBorders>
              <w:top w:val="single" w:sz="6" w:space="0" w:color="auto"/>
              <w:left w:val="single" w:sz="6" w:space="0" w:color="auto"/>
              <w:bottom w:val="single" w:sz="6" w:space="0" w:color="auto"/>
              <w:right w:val="single" w:sz="6" w:space="0" w:color="auto"/>
            </w:tcBorders>
          </w:tcPr>
          <w:p w14:paraId="2AAA6F5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77E5B4F"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Окремий </w:t>
            </w:r>
            <w:proofErr w:type="spellStart"/>
            <w:r w:rsidRPr="004229C1">
              <w:rPr>
                <w:rFonts w:ascii="Times New Roman" w:hAnsi="Times New Roman" w:cs="Times New Roman"/>
                <w:kern w:val="0"/>
                <w:sz w:val="22"/>
                <w:szCs w:val="22"/>
                <w:lang w:val="uk-UA"/>
              </w:rPr>
              <w:t>звiт</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аспектiв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взаємодiї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стейкхолдерами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вiдсутнiй</w:t>
            </w:r>
            <w:proofErr w:type="spellEnd"/>
            <w:r w:rsidRPr="004229C1">
              <w:rPr>
                <w:rFonts w:ascii="Times New Roman" w:hAnsi="Times New Roman" w:cs="Times New Roman"/>
                <w:kern w:val="0"/>
                <w:sz w:val="22"/>
                <w:szCs w:val="22"/>
                <w:lang w:val="uk-UA"/>
              </w:rPr>
              <w:t xml:space="preserve">, але така </w:t>
            </w:r>
            <w:proofErr w:type="spellStart"/>
            <w:r w:rsidRPr="004229C1">
              <w:rPr>
                <w:rFonts w:ascii="Times New Roman" w:hAnsi="Times New Roman" w:cs="Times New Roman"/>
                <w:kern w:val="0"/>
                <w:sz w:val="22"/>
                <w:szCs w:val="22"/>
                <w:lang w:val="uk-UA"/>
              </w:rPr>
              <w:t>iнформацiя</w:t>
            </w:r>
            <w:proofErr w:type="spellEnd"/>
            <w:r w:rsidRPr="004229C1">
              <w:rPr>
                <w:rFonts w:ascii="Times New Roman" w:hAnsi="Times New Roman" w:cs="Times New Roman"/>
                <w:kern w:val="0"/>
                <w:sz w:val="22"/>
                <w:szCs w:val="22"/>
                <w:lang w:val="uk-UA"/>
              </w:rPr>
              <w:t xml:space="preserve"> розкривається в межах регульованої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емiтента</w:t>
            </w:r>
            <w:proofErr w:type="spellEnd"/>
          </w:p>
        </w:tc>
      </w:tr>
      <w:tr w:rsidR="007469BF" w:rsidRPr="004229C1" w14:paraId="04CD7FAB" w14:textId="77777777">
        <w:trPr>
          <w:trHeight w:val="200"/>
        </w:trPr>
        <w:tc>
          <w:tcPr>
            <w:tcW w:w="10000" w:type="dxa"/>
            <w:gridSpan w:val="3"/>
            <w:tcBorders>
              <w:top w:val="single" w:sz="6" w:space="0" w:color="auto"/>
              <w:bottom w:val="single" w:sz="6" w:space="0" w:color="auto"/>
            </w:tcBorders>
          </w:tcPr>
          <w:p w14:paraId="0E80F89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3. Наглядова рада</w:t>
            </w:r>
          </w:p>
        </w:tc>
      </w:tr>
      <w:tr w:rsidR="007469BF" w:rsidRPr="004229C1" w14:paraId="0DD9004C" w14:textId="77777777">
        <w:trPr>
          <w:trHeight w:val="200"/>
        </w:trPr>
        <w:tc>
          <w:tcPr>
            <w:tcW w:w="4000" w:type="dxa"/>
            <w:tcBorders>
              <w:top w:val="single" w:sz="6" w:space="0" w:color="auto"/>
              <w:bottom w:val="single" w:sz="6" w:space="0" w:color="auto"/>
              <w:right w:val="single" w:sz="6" w:space="0" w:color="auto"/>
            </w:tcBorders>
          </w:tcPr>
          <w:p w14:paraId="5AA7692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Члени наглядової ради не входять до складу наглядових рад у більш ніж 3 інших юридичних особах</w:t>
            </w:r>
          </w:p>
        </w:tc>
        <w:tc>
          <w:tcPr>
            <w:tcW w:w="1500" w:type="dxa"/>
            <w:tcBorders>
              <w:top w:val="single" w:sz="6" w:space="0" w:color="auto"/>
              <w:left w:val="single" w:sz="6" w:space="0" w:color="auto"/>
              <w:bottom w:val="single" w:sz="6" w:space="0" w:color="auto"/>
              <w:right w:val="single" w:sz="6" w:space="0" w:color="auto"/>
            </w:tcBorders>
          </w:tcPr>
          <w:p w14:paraId="637B146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03CA959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Законом України "Про банки та </w:t>
            </w:r>
            <w:proofErr w:type="spellStart"/>
            <w:r w:rsidRPr="004229C1">
              <w:rPr>
                <w:rFonts w:ascii="Times New Roman" w:hAnsi="Times New Roman" w:cs="Times New Roman"/>
                <w:kern w:val="0"/>
                <w:sz w:val="22"/>
                <w:szCs w:val="22"/>
                <w:lang w:val="uk-UA"/>
              </w:rPr>
              <w:t>банкiвську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дiяльнiсть</w:t>
            </w:r>
            <w:proofErr w:type="spellEnd"/>
            <w:r w:rsidRPr="004229C1">
              <w:rPr>
                <w:rFonts w:ascii="Times New Roman" w:hAnsi="Times New Roman" w:cs="Times New Roman"/>
                <w:kern w:val="0"/>
                <w:sz w:val="22"/>
                <w:szCs w:val="22"/>
                <w:lang w:val="uk-UA"/>
              </w:rPr>
              <w:t xml:space="preserve">" членам Наглядової Ради заборонено бути </w:t>
            </w:r>
            <w:proofErr w:type="spellStart"/>
            <w:r w:rsidRPr="004229C1">
              <w:rPr>
                <w:rFonts w:ascii="Times New Roman" w:hAnsi="Times New Roman" w:cs="Times New Roman"/>
                <w:kern w:val="0"/>
                <w:sz w:val="22"/>
                <w:szCs w:val="22"/>
                <w:lang w:val="uk-UA"/>
              </w:rPr>
              <w:t>керiвником</w:t>
            </w:r>
            <w:proofErr w:type="spellEnd"/>
            <w:r w:rsidRPr="004229C1">
              <w:rPr>
                <w:rFonts w:ascii="Times New Roman" w:hAnsi="Times New Roman" w:cs="Times New Roman"/>
                <w:kern w:val="0"/>
                <w:sz w:val="22"/>
                <w:szCs w:val="22"/>
                <w:lang w:val="uk-UA"/>
              </w:rPr>
              <w:t xml:space="preserve">, посадовою особою та/або членом ради банку чи </w:t>
            </w:r>
            <w:proofErr w:type="spellStart"/>
            <w:r w:rsidRPr="004229C1">
              <w:rPr>
                <w:rFonts w:ascii="Times New Roman" w:hAnsi="Times New Roman" w:cs="Times New Roman"/>
                <w:kern w:val="0"/>
                <w:sz w:val="22"/>
                <w:szCs w:val="22"/>
                <w:lang w:val="uk-UA"/>
              </w:rPr>
              <w:t>iншого</w:t>
            </w:r>
            <w:proofErr w:type="spellEnd"/>
            <w:r w:rsidRPr="004229C1">
              <w:rPr>
                <w:rFonts w:ascii="Times New Roman" w:hAnsi="Times New Roman" w:cs="Times New Roman"/>
                <w:kern w:val="0"/>
                <w:sz w:val="22"/>
                <w:szCs w:val="22"/>
                <w:lang w:val="uk-UA"/>
              </w:rPr>
              <w:t xml:space="preserve"> органу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iншого</w:t>
            </w:r>
            <w:proofErr w:type="spellEnd"/>
            <w:r w:rsidRPr="004229C1">
              <w:rPr>
                <w:rFonts w:ascii="Times New Roman" w:hAnsi="Times New Roman" w:cs="Times New Roman"/>
                <w:kern w:val="0"/>
                <w:sz w:val="22"/>
                <w:szCs w:val="22"/>
                <w:lang w:val="uk-UA"/>
              </w:rPr>
              <w:t xml:space="preserve"> банку, зареєстрованого в </w:t>
            </w:r>
            <w:proofErr w:type="spellStart"/>
            <w:r w:rsidRPr="004229C1">
              <w:rPr>
                <w:rFonts w:ascii="Times New Roman" w:hAnsi="Times New Roman" w:cs="Times New Roman"/>
                <w:kern w:val="0"/>
                <w:sz w:val="22"/>
                <w:szCs w:val="22"/>
                <w:lang w:val="uk-UA"/>
              </w:rPr>
              <w:t>Українi</w:t>
            </w:r>
            <w:proofErr w:type="spellEnd"/>
            <w:r w:rsidRPr="004229C1">
              <w:rPr>
                <w:rFonts w:ascii="Times New Roman" w:hAnsi="Times New Roman" w:cs="Times New Roman"/>
                <w:kern w:val="0"/>
                <w:sz w:val="22"/>
                <w:szCs w:val="22"/>
                <w:lang w:val="uk-UA"/>
              </w:rPr>
              <w:t xml:space="preserve">. Банк та НБУ </w:t>
            </w:r>
            <w:proofErr w:type="spellStart"/>
            <w:r w:rsidRPr="004229C1">
              <w:rPr>
                <w:rFonts w:ascii="Times New Roman" w:hAnsi="Times New Roman" w:cs="Times New Roman"/>
                <w:kern w:val="0"/>
                <w:sz w:val="22"/>
                <w:szCs w:val="22"/>
                <w:lang w:val="uk-UA"/>
              </w:rPr>
              <w:t>здiйснюють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постiйний</w:t>
            </w:r>
            <w:proofErr w:type="spellEnd"/>
            <w:r w:rsidRPr="004229C1">
              <w:rPr>
                <w:rFonts w:ascii="Times New Roman" w:hAnsi="Times New Roman" w:cs="Times New Roman"/>
                <w:kern w:val="0"/>
                <w:sz w:val="22"/>
                <w:szCs w:val="22"/>
                <w:lang w:val="uk-UA"/>
              </w:rPr>
              <w:t xml:space="preserve"> контроль за дотриманням членами Наглядової Ради </w:t>
            </w:r>
            <w:proofErr w:type="spellStart"/>
            <w:r w:rsidRPr="004229C1">
              <w:rPr>
                <w:rFonts w:ascii="Times New Roman" w:hAnsi="Times New Roman" w:cs="Times New Roman"/>
                <w:kern w:val="0"/>
                <w:sz w:val="22"/>
                <w:szCs w:val="22"/>
                <w:lang w:val="uk-UA"/>
              </w:rPr>
              <w:t>вiдповiдної</w:t>
            </w:r>
            <w:proofErr w:type="spellEnd"/>
            <w:r w:rsidRPr="004229C1">
              <w:rPr>
                <w:rFonts w:ascii="Times New Roman" w:hAnsi="Times New Roman" w:cs="Times New Roman"/>
                <w:kern w:val="0"/>
                <w:sz w:val="22"/>
                <w:szCs w:val="22"/>
                <w:lang w:val="uk-UA"/>
              </w:rPr>
              <w:t xml:space="preserve"> заборони. Щодо заборони займати </w:t>
            </w:r>
            <w:proofErr w:type="spellStart"/>
            <w:r w:rsidRPr="004229C1">
              <w:rPr>
                <w:rFonts w:ascii="Times New Roman" w:hAnsi="Times New Roman" w:cs="Times New Roman"/>
                <w:kern w:val="0"/>
                <w:sz w:val="22"/>
                <w:szCs w:val="22"/>
                <w:lang w:val="uk-UA"/>
              </w:rPr>
              <w:t>вiдповiднi</w:t>
            </w:r>
            <w:proofErr w:type="spellEnd"/>
            <w:r w:rsidRPr="004229C1">
              <w:rPr>
                <w:rFonts w:ascii="Times New Roman" w:hAnsi="Times New Roman" w:cs="Times New Roman"/>
                <w:kern w:val="0"/>
                <w:sz w:val="22"/>
                <w:szCs w:val="22"/>
                <w:lang w:val="uk-UA"/>
              </w:rPr>
              <w:t xml:space="preserve"> посади у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юридичних особах, у </w:t>
            </w:r>
            <w:proofErr w:type="spellStart"/>
            <w:r w:rsidRPr="004229C1">
              <w:rPr>
                <w:rFonts w:ascii="Times New Roman" w:hAnsi="Times New Roman" w:cs="Times New Roman"/>
                <w:kern w:val="0"/>
                <w:sz w:val="22"/>
                <w:szCs w:val="22"/>
                <w:lang w:val="uk-UA"/>
              </w:rPr>
              <w:t>кiлькiсному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вираженi</w:t>
            </w:r>
            <w:proofErr w:type="spellEnd"/>
            <w:r w:rsidRPr="004229C1">
              <w:rPr>
                <w:rFonts w:ascii="Times New Roman" w:hAnsi="Times New Roman" w:cs="Times New Roman"/>
                <w:kern w:val="0"/>
                <w:sz w:val="22"/>
                <w:szCs w:val="22"/>
                <w:lang w:val="uk-UA"/>
              </w:rPr>
              <w:t xml:space="preserve"> нормативно-</w:t>
            </w:r>
            <w:proofErr w:type="spellStart"/>
            <w:r w:rsidRPr="004229C1">
              <w:rPr>
                <w:rFonts w:ascii="Times New Roman" w:hAnsi="Times New Roman" w:cs="Times New Roman"/>
                <w:kern w:val="0"/>
                <w:sz w:val="22"/>
                <w:szCs w:val="22"/>
                <w:lang w:val="uk-UA"/>
              </w:rPr>
              <w:t>правовi</w:t>
            </w:r>
            <w:proofErr w:type="spellEnd"/>
            <w:r w:rsidRPr="004229C1">
              <w:rPr>
                <w:rFonts w:ascii="Times New Roman" w:hAnsi="Times New Roman" w:cs="Times New Roman"/>
                <w:kern w:val="0"/>
                <w:sz w:val="22"/>
                <w:szCs w:val="22"/>
                <w:lang w:val="uk-UA"/>
              </w:rPr>
              <w:t xml:space="preserve"> норми НБУ обмежень не мають, тому </w:t>
            </w:r>
            <w:proofErr w:type="spellStart"/>
            <w:r w:rsidRPr="004229C1">
              <w:rPr>
                <w:rFonts w:ascii="Times New Roman" w:hAnsi="Times New Roman" w:cs="Times New Roman"/>
                <w:kern w:val="0"/>
                <w:sz w:val="22"/>
                <w:szCs w:val="22"/>
                <w:lang w:val="uk-UA"/>
              </w:rPr>
              <w:t>цi</w:t>
            </w:r>
            <w:proofErr w:type="spellEnd"/>
            <w:r w:rsidRPr="004229C1">
              <w:rPr>
                <w:rFonts w:ascii="Times New Roman" w:hAnsi="Times New Roman" w:cs="Times New Roman"/>
                <w:kern w:val="0"/>
                <w:sz w:val="22"/>
                <w:szCs w:val="22"/>
                <w:lang w:val="uk-UA"/>
              </w:rPr>
              <w:t xml:space="preserve"> обмеження </w:t>
            </w:r>
            <w:proofErr w:type="spellStart"/>
            <w:r w:rsidRPr="004229C1">
              <w:rPr>
                <w:rFonts w:ascii="Times New Roman" w:hAnsi="Times New Roman" w:cs="Times New Roman"/>
                <w:kern w:val="0"/>
                <w:sz w:val="22"/>
                <w:szCs w:val="22"/>
                <w:lang w:val="uk-UA"/>
              </w:rPr>
              <w:t>вiдсутнi</w:t>
            </w:r>
            <w:proofErr w:type="spellEnd"/>
            <w:r w:rsidRPr="004229C1">
              <w:rPr>
                <w:rFonts w:ascii="Times New Roman" w:hAnsi="Times New Roman" w:cs="Times New Roman"/>
                <w:kern w:val="0"/>
                <w:sz w:val="22"/>
                <w:szCs w:val="22"/>
                <w:lang w:val="uk-UA"/>
              </w:rPr>
              <w:t xml:space="preserve"> i у </w:t>
            </w:r>
            <w:proofErr w:type="spellStart"/>
            <w:r w:rsidRPr="004229C1">
              <w:rPr>
                <w:rFonts w:ascii="Times New Roman" w:hAnsi="Times New Roman" w:cs="Times New Roman"/>
                <w:kern w:val="0"/>
                <w:sz w:val="22"/>
                <w:szCs w:val="22"/>
                <w:lang w:val="uk-UA"/>
              </w:rPr>
              <w:t>внутрiшнiх</w:t>
            </w:r>
            <w:proofErr w:type="spellEnd"/>
            <w:r w:rsidRPr="004229C1">
              <w:rPr>
                <w:rFonts w:ascii="Times New Roman" w:hAnsi="Times New Roman" w:cs="Times New Roman"/>
                <w:kern w:val="0"/>
                <w:sz w:val="22"/>
                <w:szCs w:val="22"/>
                <w:lang w:val="uk-UA"/>
              </w:rPr>
              <w:t xml:space="preserve"> документах Банку.</w:t>
            </w:r>
          </w:p>
        </w:tc>
      </w:tr>
      <w:tr w:rsidR="007469BF" w:rsidRPr="004229C1" w14:paraId="48D035B9" w14:textId="77777777">
        <w:trPr>
          <w:trHeight w:val="200"/>
        </w:trPr>
        <w:tc>
          <w:tcPr>
            <w:tcW w:w="4000" w:type="dxa"/>
            <w:tcBorders>
              <w:top w:val="single" w:sz="6" w:space="0" w:color="auto"/>
              <w:bottom w:val="single" w:sz="6" w:space="0" w:color="auto"/>
              <w:right w:val="single" w:sz="6" w:space="0" w:color="auto"/>
            </w:tcBorders>
          </w:tcPr>
          <w:p w14:paraId="58ED198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Особа веде облік відвідування 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14:paraId="1AFA546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084918B" w14:textId="709BE449"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Облiк</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вiдвiдування</w:t>
            </w:r>
            <w:proofErr w:type="spellEnd"/>
            <w:r w:rsidRPr="004229C1">
              <w:rPr>
                <w:rFonts w:ascii="Times New Roman" w:hAnsi="Times New Roman" w:cs="Times New Roman"/>
                <w:kern w:val="0"/>
                <w:sz w:val="22"/>
                <w:szCs w:val="22"/>
                <w:lang w:val="uk-UA"/>
              </w:rPr>
              <w:t xml:space="preserve"> ведеться секретарем Наглядової ради та </w:t>
            </w:r>
            <w:proofErr w:type="spellStart"/>
            <w:r w:rsidRPr="004229C1">
              <w:rPr>
                <w:rFonts w:ascii="Times New Roman" w:hAnsi="Times New Roman" w:cs="Times New Roman"/>
                <w:kern w:val="0"/>
                <w:sz w:val="22"/>
                <w:szCs w:val="22"/>
                <w:lang w:val="uk-UA"/>
              </w:rPr>
              <w:t>комiтетiв</w:t>
            </w:r>
            <w:proofErr w:type="spellEnd"/>
            <w:r w:rsidRPr="004229C1">
              <w:rPr>
                <w:rFonts w:ascii="Times New Roman" w:hAnsi="Times New Roman" w:cs="Times New Roman"/>
                <w:kern w:val="0"/>
                <w:sz w:val="22"/>
                <w:szCs w:val="22"/>
                <w:lang w:val="uk-UA"/>
              </w:rPr>
              <w:t xml:space="preserve"> у </w:t>
            </w:r>
            <w:proofErr w:type="spellStart"/>
            <w:r w:rsidRPr="004229C1">
              <w:rPr>
                <w:rFonts w:ascii="Times New Roman" w:hAnsi="Times New Roman" w:cs="Times New Roman"/>
                <w:kern w:val="0"/>
                <w:sz w:val="22"/>
                <w:szCs w:val="22"/>
                <w:lang w:val="uk-UA"/>
              </w:rPr>
              <w:t>виглядi</w:t>
            </w:r>
            <w:proofErr w:type="spellEnd"/>
            <w:r w:rsidRPr="004229C1">
              <w:rPr>
                <w:rFonts w:ascii="Times New Roman" w:hAnsi="Times New Roman" w:cs="Times New Roman"/>
                <w:kern w:val="0"/>
                <w:sz w:val="22"/>
                <w:szCs w:val="22"/>
                <w:lang w:val="uk-UA"/>
              </w:rPr>
              <w:t xml:space="preserve"> реєстру </w:t>
            </w:r>
            <w:proofErr w:type="spellStart"/>
            <w:r w:rsidRPr="004229C1">
              <w:rPr>
                <w:rFonts w:ascii="Times New Roman" w:hAnsi="Times New Roman" w:cs="Times New Roman"/>
                <w:kern w:val="0"/>
                <w:sz w:val="22"/>
                <w:szCs w:val="22"/>
                <w:lang w:val="uk-UA"/>
              </w:rPr>
              <w:t>засiдань</w:t>
            </w:r>
            <w:proofErr w:type="spellEnd"/>
            <w:r w:rsidRPr="004229C1">
              <w:rPr>
                <w:rFonts w:ascii="Times New Roman" w:hAnsi="Times New Roman" w:cs="Times New Roman"/>
                <w:kern w:val="0"/>
                <w:sz w:val="22"/>
                <w:szCs w:val="22"/>
                <w:lang w:val="uk-UA"/>
              </w:rPr>
              <w:t>.</w:t>
            </w:r>
          </w:p>
        </w:tc>
      </w:tr>
      <w:tr w:rsidR="007469BF" w:rsidRPr="004229C1" w14:paraId="0D8B068C" w14:textId="77777777">
        <w:trPr>
          <w:trHeight w:val="200"/>
        </w:trPr>
        <w:tc>
          <w:tcPr>
            <w:tcW w:w="4000" w:type="dxa"/>
            <w:tcBorders>
              <w:top w:val="single" w:sz="6" w:space="0" w:color="auto"/>
              <w:bottom w:val="single" w:sz="6" w:space="0" w:color="auto"/>
              <w:right w:val="single" w:sz="6" w:space="0" w:color="auto"/>
            </w:tcBorders>
          </w:tcPr>
          <w:p w14:paraId="76A9C4D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auto"/>
              <w:left w:val="single" w:sz="6" w:space="0" w:color="auto"/>
              <w:bottom w:val="single" w:sz="6" w:space="0" w:color="auto"/>
              <w:right w:val="single" w:sz="6" w:space="0" w:color="auto"/>
            </w:tcBorders>
          </w:tcPr>
          <w:p w14:paraId="69F11C4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1D6EE90" w14:textId="4AE9B5BB"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та Положення про Наглядову Раду належним чином </w:t>
            </w:r>
            <w:proofErr w:type="spellStart"/>
            <w:r w:rsidRPr="004229C1">
              <w:rPr>
                <w:rFonts w:ascii="Times New Roman" w:hAnsi="Times New Roman" w:cs="Times New Roman"/>
                <w:kern w:val="0"/>
                <w:sz w:val="22"/>
                <w:szCs w:val="22"/>
                <w:lang w:val="uk-UA"/>
              </w:rPr>
              <w:t>визначенi</w:t>
            </w:r>
            <w:proofErr w:type="spellEnd"/>
            <w:r w:rsidRPr="004229C1">
              <w:rPr>
                <w:rFonts w:ascii="Times New Roman" w:hAnsi="Times New Roman" w:cs="Times New Roman"/>
                <w:kern w:val="0"/>
                <w:sz w:val="22"/>
                <w:szCs w:val="22"/>
                <w:lang w:val="uk-UA"/>
              </w:rPr>
              <w:t xml:space="preserve"> обов</w:t>
            </w:r>
            <w:r w:rsidR="00557E7F"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 xml:space="preserve">язки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серед </w:t>
            </w:r>
            <w:proofErr w:type="spellStart"/>
            <w:r w:rsidRPr="004229C1">
              <w:rPr>
                <w:rFonts w:ascii="Times New Roman" w:hAnsi="Times New Roman" w:cs="Times New Roman"/>
                <w:kern w:val="0"/>
                <w:sz w:val="22"/>
                <w:szCs w:val="22"/>
                <w:lang w:val="uk-UA"/>
              </w:rPr>
              <w:t>iншого</w:t>
            </w:r>
            <w:proofErr w:type="spellEnd"/>
            <w:r w:rsidRPr="004229C1">
              <w:rPr>
                <w:rFonts w:ascii="Times New Roman" w:hAnsi="Times New Roman" w:cs="Times New Roman"/>
                <w:kern w:val="0"/>
                <w:sz w:val="22"/>
                <w:szCs w:val="22"/>
                <w:lang w:val="uk-UA"/>
              </w:rPr>
              <w:t xml:space="preserve">, обов'язок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сумлiнно</w:t>
            </w:r>
            <w:proofErr w:type="spellEnd"/>
            <w:r w:rsidRPr="004229C1">
              <w:rPr>
                <w:rFonts w:ascii="Times New Roman" w:hAnsi="Times New Roman" w:cs="Times New Roman"/>
                <w:kern w:val="0"/>
                <w:sz w:val="22"/>
                <w:szCs w:val="22"/>
                <w:lang w:val="uk-UA"/>
              </w:rPr>
              <w:t xml:space="preserve"> виконувати свої </w:t>
            </w:r>
            <w:proofErr w:type="spellStart"/>
            <w:r w:rsidRPr="004229C1">
              <w:rPr>
                <w:rFonts w:ascii="Times New Roman" w:hAnsi="Times New Roman" w:cs="Times New Roman"/>
                <w:kern w:val="0"/>
                <w:sz w:val="22"/>
                <w:szCs w:val="22"/>
                <w:lang w:val="uk-UA"/>
              </w:rPr>
              <w:t>функцiї</w:t>
            </w:r>
            <w:proofErr w:type="spellEnd"/>
            <w:r w:rsidRPr="004229C1">
              <w:rPr>
                <w:rFonts w:ascii="Times New Roman" w:hAnsi="Times New Roman" w:cs="Times New Roman"/>
                <w:kern w:val="0"/>
                <w:sz w:val="22"/>
                <w:szCs w:val="22"/>
                <w:lang w:val="uk-UA"/>
              </w:rPr>
              <w:t xml:space="preserve"> i дотримуватися принципу </w:t>
            </w:r>
            <w:proofErr w:type="spellStart"/>
            <w:r w:rsidRPr="004229C1">
              <w:rPr>
                <w:rFonts w:ascii="Times New Roman" w:hAnsi="Times New Roman" w:cs="Times New Roman"/>
                <w:kern w:val="0"/>
                <w:sz w:val="22"/>
                <w:szCs w:val="22"/>
                <w:lang w:val="uk-UA"/>
              </w:rPr>
              <w:t>лояльностi</w:t>
            </w:r>
            <w:proofErr w:type="spellEnd"/>
            <w:r w:rsidRPr="004229C1">
              <w:rPr>
                <w:rFonts w:ascii="Times New Roman" w:hAnsi="Times New Roman" w:cs="Times New Roman"/>
                <w:kern w:val="0"/>
                <w:sz w:val="22"/>
                <w:szCs w:val="22"/>
                <w:lang w:val="uk-UA"/>
              </w:rPr>
              <w:t xml:space="preserve"> стосовно особи</w:t>
            </w:r>
          </w:p>
        </w:tc>
      </w:tr>
      <w:tr w:rsidR="007469BF" w:rsidRPr="004229C1" w14:paraId="334669E8" w14:textId="77777777">
        <w:trPr>
          <w:trHeight w:val="200"/>
        </w:trPr>
        <w:tc>
          <w:tcPr>
            <w:tcW w:w="4000" w:type="dxa"/>
            <w:tcBorders>
              <w:top w:val="single" w:sz="6" w:space="0" w:color="auto"/>
              <w:bottom w:val="single" w:sz="6" w:space="0" w:color="auto"/>
              <w:right w:val="single" w:sz="6" w:space="0" w:color="auto"/>
            </w:tcBorders>
          </w:tcPr>
          <w:p w14:paraId="2986E27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36AB564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61AF56E"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Вiдповiдно</w:t>
            </w:r>
            <w:proofErr w:type="spellEnd"/>
            <w:r w:rsidRPr="004229C1">
              <w:rPr>
                <w:rFonts w:ascii="Times New Roman" w:hAnsi="Times New Roman" w:cs="Times New Roman"/>
                <w:kern w:val="0"/>
                <w:sz w:val="22"/>
                <w:szCs w:val="22"/>
                <w:lang w:val="uk-UA"/>
              </w:rPr>
              <w:t xml:space="preserve"> до Положення про Наглядову Раду члени Наглядової Ради </w:t>
            </w:r>
            <w:proofErr w:type="spellStart"/>
            <w:r w:rsidRPr="004229C1">
              <w:rPr>
                <w:rFonts w:ascii="Times New Roman" w:hAnsi="Times New Roman" w:cs="Times New Roman"/>
                <w:kern w:val="0"/>
                <w:sz w:val="22"/>
                <w:szCs w:val="22"/>
                <w:lang w:val="uk-UA"/>
              </w:rPr>
              <w:t>забезпеченi</w:t>
            </w:r>
            <w:proofErr w:type="spellEnd"/>
            <w:r w:rsidRPr="004229C1">
              <w:rPr>
                <w:rFonts w:ascii="Times New Roman" w:hAnsi="Times New Roman" w:cs="Times New Roman"/>
                <w:kern w:val="0"/>
                <w:sz w:val="22"/>
                <w:szCs w:val="22"/>
                <w:lang w:val="uk-UA"/>
              </w:rPr>
              <w:t xml:space="preserve"> доступом до будь-якої </w:t>
            </w:r>
            <w:proofErr w:type="spellStart"/>
            <w:r w:rsidRPr="004229C1">
              <w:rPr>
                <w:rFonts w:ascii="Times New Roman" w:hAnsi="Times New Roman" w:cs="Times New Roman"/>
                <w:kern w:val="0"/>
                <w:sz w:val="22"/>
                <w:szCs w:val="22"/>
                <w:lang w:val="uk-UA"/>
              </w:rPr>
              <w:t>iнформацiї</w:t>
            </w:r>
            <w:proofErr w:type="spellEnd"/>
            <w:r w:rsidRPr="004229C1">
              <w:rPr>
                <w:rFonts w:ascii="Times New Roman" w:hAnsi="Times New Roman" w:cs="Times New Roman"/>
                <w:kern w:val="0"/>
                <w:sz w:val="22"/>
                <w:szCs w:val="22"/>
                <w:lang w:val="uk-UA"/>
              </w:rPr>
              <w:t xml:space="preserve">, яка </w:t>
            </w:r>
            <w:proofErr w:type="spellStart"/>
            <w:r w:rsidRPr="004229C1">
              <w:rPr>
                <w:rFonts w:ascii="Times New Roman" w:hAnsi="Times New Roman" w:cs="Times New Roman"/>
                <w:kern w:val="0"/>
                <w:sz w:val="22"/>
                <w:szCs w:val="22"/>
                <w:lang w:val="uk-UA"/>
              </w:rPr>
              <w:t>необхiдна</w:t>
            </w:r>
            <w:proofErr w:type="spellEnd"/>
            <w:r w:rsidRPr="004229C1">
              <w:rPr>
                <w:rFonts w:ascii="Times New Roman" w:hAnsi="Times New Roman" w:cs="Times New Roman"/>
                <w:kern w:val="0"/>
                <w:sz w:val="22"/>
                <w:szCs w:val="22"/>
                <w:lang w:val="uk-UA"/>
              </w:rPr>
              <w:t xml:space="preserve"> їй для ефективного виконання </w:t>
            </w:r>
            <w:proofErr w:type="spellStart"/>
            <w:r w:rsidRPr="004229C1">
              <w:rPr>
                <w:rFonts w:ascii="Times New Roman" w:hAnsi="Times New Roman" w:cs="Times New Roman"/>
                <w:kern w:val="0"/>
                <w:sz w:val="22"/>
                <w:szCs w:val="22"/>
                <w:lang w:val="uk-UA"/>
              </w:rPr>
              <w:t>обов'язкiв</w:t>
            </w:r>
            <w:proofErr w:type="spellEnd"/>
          </w:p>
        </w:tc>
      </w:tr>
      <w:tr w:rsidR="007469BF" w:rsidRPr="004229C1" w14:paraId="5C042E27" w14:textId="77777777">
        <w:trPr>
          <w:trHeight w:val="200"/>
        </w:trPr>
        <w:tc>
          <w:tcPr>
            <w:tcW w:w="4000" w:type="dxa"/>
            <w:tcBorders>
              <w:top w:val="single" w:sz="6" w:space="0" w:color="auto"/>
              <w:bottom w:val="single" w:sz="6" w:space="0" w:color="auto"/>
              <w:right w:val="single" w:sz="6" w:space="0" w:color="auto"/>
            </w:tcBorders>
          </w:tcPr>
          <w:p w14:paraId="2F59C72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14:paraId="223A86F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A57F94F"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У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до Статуту та Положення про Наглядову Раду Банку Наглядова Рада кожне </w:t>
            </w:r>
            <w:proofErr w:type="spellStart"/>
            <w:r w:rsidRPr="004229C1">
              <w:rPr>
                <w:rFonts w:ascii="Times New Roman" w:hAnsi="Times New Roman" w:cs="Times New Roman"/>
                <w:kern w:val="0"/>
                <w:sz w:val="22"/>
                <w:szCs w:val="22"/>
                <w:lang w:val="uk-UA"/>
              </w:rPr>
              <w:t>засiдання</w:t>
            </w:r>
            <w:proofErr w:type="spellEnd"/>
            <w:r w:rsidRPr="004229C1">
              <w:rPr>
                <w:rFonts w:ascii="Times New Roman" w:hAnsi="Times New Roman" w:cs="Times New Roman"/>
                <w:kern w:val="0"/>
                <w:sz w:val="22"/>
                <w:szCs w:val="22"/>
                <w:lang w:val="uk-UA"/>
              </w:rPr>
              <w:t xml:space="preserve">/щоквартально/раз на </w:t>
            </w:r>
            <w:proofErr w:type="spellStart"/>
            <w:r w:rsidRPr="004229C1">
              <w:rPr>
                <w:rFonts w:ascii="Times New Roman" w:hAnsi="Times New Roman" w:cs="Times New Roman"/>
                <w:kern w:val="0"/>
                <w:sz w:val="22"/>
                <w:szCs w:val="22"/>
                <w:lang w:val="uk-UA"/>
              </w:rPr>
              <w:t>пiвроку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оцiнює</w:t>
            </w:r>
            <w:proofErr w:type="spellEnd"/>
            <w:r w:rsidRPr="004229C1">
              <w:rPr>
                <w:rFonts w:ascii="Times New Roman" w:hAnsi="Times New Roman" w:cs="Times New Roman"/>
                <w:kern w:val="0"/>
                <w:sz w:val="22"/>
                <w:szCs w:val="22"/>
                <w:lang w:val="uk-UA"/>
              </w:rPr>
              <w:t xml:space="preserve"> результати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в межах регулярної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та Голови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w:t>
            </w:r>
          </w:p>
        </w:tc>
      </w:tr>
      <w:tr w:rsidR="007469BF" w:rsidRPr="004229C1" w14:paraId="4B5239CC" w14:textId="77777777">
        <w:trPr>
          <w:trHeight w:val="200"/>
        </w:trPr>
        <w:tc>
          <w:tcPr>
            <w:tcW w:w="4000" w:type="dxa"/>
            <w:tcBorders>
              <w:top w:val="single" w:sz="6" w:space="0" w:color="auto"/>
              <w:bottom w:val="single" w:sz="6" w:space="0" w:color="auto"/>
              <w:right w:val="single" w:sz="6" w:space="0" w:color="auto"/>
            </w:tcBorders>
          </w:tcPr>
          <w:p w14:paraId="276B81E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14:paraId="626479A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439BCE9D"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Статутом Банку визначено, що Наглядова рада не бере </w:t>
            </w:r>
            <w:proofErr w:type="spellStart"/>
            <w:r w:rsidRPr="004229C1">
              <w:rPr>
                <w:rFonts w:ascii="Times New Roman" w:hAnsi="Times New Roman" w:cs="Times New Roman"/>
                <w:kern w:val="0"/>
                <w:sz w:val="22"/>
                <w:szCs w:val="22"/>
                <w:lang w:val="uk-UA"/>
              </w:rPr>
              <w:t>участi</w:t>
            </w:r>
            <w:proofErr w:type="spellEnd"/>
            <w:r w:rsidRPr="004229C1">
              <w:rPr>
                <w:rFonts w:ascii="Times New Roman" w:hAnsi="Times New Roman" w:cs="Times New Roman"/>
                <w:kern w:val="0"/>
                <w:sz w:val="22"/>
                <w:szCs w:val="22"/>
                <w:lang w:val="uk-UA"/>
              </w:rPr>
              <w:t xml:space="preserve"> в поточному </w:t>
            </w:r>
            <w:proofErr w:type="spellStart"/>
            <w:r w:rsidRPr="004229C1">
              <w:rPr>
                <w:rFonts w:ascii="Times New Roman" w:hAnsi="Times New Roman" w:cs="Times New Roman"/>
                <w:kern w:val="0"/>
                <w:sz w:val="22"/>
                <w:szCs w:val="22"/>
                <w:lang w:val="uk-UA"/>
              </w:rPr>
              <w:t>управлiннi</w:t>
            </w:r>
            <w:proofErr w:type="spellEnd"/>
            <w:r w:rsidRPr="004229C1">
              <w:rPr>
                <w:rFonts w:ascii="Times New Roman" w:hAnsi="Times New Roman" w:cs="Times New Roman"/>
                <w:kern w:val="0"/>
                <w:sz w:val="22"/>
                <w:szCs w:val="22"/>
                <w:lang w:val="uk-UA"/>
              </w:rPr>
              <w:t xml:space="preserve"> Банком.</w:t>
            </w:r>
          </w:p>
        </w:tc>
      </w:tr>
      <w:tr w:rsidR="007469BF" w:rsidRPr="004229C1" w14:paraId="01080AF8" w14:textId="77777777">
        <w:trPr>
          <w:trHeight w:val="200"/>
        </w:trPr>
        <w:tc>
          <w:tcPr>
            <w:tcW w:w="4000" w:type="dxa"/>
            <w:tcBorders>
              <w:top w:val="single" w:sz="6" w:space="0" w:color="auto"/>
              <w:bottom w:val="single" w:sz="6" w:space="0" w:color="auto"/>
              <w:right w:val="single" w:sz="6" w:space="0" w:color="auto"/>
            </w:tcBorders>
          </w:tcPr>
          <w:p w14:paraId="2C801C0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14:paraId="49BF247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44E785E2"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Склад Наглядової Ради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вимогам законодавства України, </w:t>
            </w:r>
            <w:proofErr w:type="spellStart"/>
            <w:r w:rsidRPr="004229C1">
              <w:rPr>
                <w:rFonts w:ascii="Times New Roman" w:hAnsi="Times New Roman" w:cs="Times New Roman"/>
                <w:kern w:val="0"/>
                <w:sz w:val="22"/>
                <w:szCs w:val="22"/>
                <w:lang w:val="uk-UA"/>
              </w:rPr>
              <w:t>складностi</w:t>
            </w:r>
            <w:proofErr w:type="spellEnd"/>
            <w:r w:rsidRPr="004229C1">
              <w:rPr>
                <w:rFonts w:ascii="Times New Roman" w:hAnsi="Times New Roman" w:cs="Times New Roman"/>
                <w:kern w:val="0"/>
                <w:sz w:val="22"/>
                <w:szCs w:val="22"/>
                <w:lang w:val="uk-UA"/>
              </w:rPr>
              <w:t xml:space="preserve">, обсягам, видам, характеру </w:t>
            </w:r>
            <w:proofErr w:type="spellStart"/>
            <w:r w:rsidRPr="004229C1">
              <w:rPr>
                <w:rFonts w:ascii="Times New Roman" w:hAnsi="Times New Roman" w:cs="Times New Roman"/>
                <w:kern w:val="0"/>
                <w:sz w:val="22"/>
                <w:szCs w:val="22"/>
                <w:lang w:val="uk-UA"/>
              </w:rPr>
              <w:t>здiйснюваних</w:t>
            </w:r>
            <w:proofErr w:type="spellEnd"/>
            <w:r w:rsidRPr="004229C1">
              <w:rPr>
                <w:rFonts w:ascii="Times New Roman" w:hAnsi="Times New Roman" w:cs="Times New Roman"/>
                <w:kern w:val="0"/>
                <w:sz w:val="22"/>
                <w:szCs w:val="22"/>
                <w:lang w:val="uk-UA"/>
              </w:rPr>
              <w:t xml:space="preserve"> Банком </w:t>
            </w:r>
            <w:proofErr w:type="spellStart"/>
            <w:r w:rsidRPr="004229C1">
              <w:rPr>
                <w:rFonts w:ascii="Times New Roman" w:hAnsi="Times New Roman" w:cs="Times New Roman"/>
                <w:kern w:val="0"/>
                <w:sz w:val="22"/>
                <w:szCs w:val="22"/>
                <w:lang w:val="uk-UA"/>
              </w:rPr>
              <w:t>операцiй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органiзацiйнiй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структурi</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профiлю</w:t>
            </w:r>
            <w:proofErr w:type="spellEnd"/>
            <w:r w:rsidRPr="004229C1">
              <w:rPr>
                <w:rFonts w:ascii="Times New Roman" w:hAnsi="Times New Roman" w:cs="Times New Roman"/>
                <w:kern w:val="0"/>
                <w:sz w:val="22"/>
                <w:szCs w:val="22"/>
                <w:lang w:val="uk-UA"/>
              </w:rPr>
              <w:t xml:space="preserve"> ризику Банку з урахуванням особливостей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Всi</w:t>
            </w:r>
            <w:proofErr w:type="spellEnd"/>
            <w:r w:rsidRPr="004229C1">
              <w:rPr>
                <w:rFonts w:ascii="Times New Roman" w:hAnsi="Times New Roman" w:cs="Times New Roman"/>
                <w:kern w:val="0"/>
                <w:sz w:val="22"/>
                <w:szCs w:val="22"/>
                <w:lang w:val="uk-UA"/>
              </w:rPr>
              <w:t xml:space="preserve"> члени Наглядової ради </w:t>
            </w:r>
            <w:proofErr w:type="spellStart"/>
            <w:r w:rsidRPr="004229C1">
              <w:rPr>
                <w:rFonts w:ascii="Times New Roman" w:hAnsi="Times New Roman" w:cs="Times New Roman"/>
                <w:kern w:val="0"/>
                <w:sz w:val="22"/>
                <w:szCs w:val="22"/>
                <w:lang w:val="uk-UA"/>
              </w:rPr>
              <w:t>вiдповiдають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квалiфiкацiйним</w:t>
            </w:r>
            <w:proofErr w:type="spellEnd"/>
            <w:r w:rsidRPr="004229C1">
              <w:rPr>
                <w:rFonts w:ascii="Times New Roman" w:hAnsi="Times New Roman" w:cs="Times New Roman"/>
                <w:kern w:val="0"/>
                <w:sz w:val="22"/>
                <w:szCs w:val="22"/>
                <w:lang w:val="uk-UA"/>
              </w:rPr>
              <w:t xml:space="preserve"> вимогам щодо </w:t>
            </w:r>
            <w:proofErr w:type="spellStart"/>
            <w:r w:rsidRPr="004229C1">
              <w:rPr>
                <w:rFonts w:ascii="Times New Roman" w:hAnsi="Times New Roman" w:cs="Times New Roman"/>
                <w:kern w:val="0"/>
                <w:sz w:val="22"/>
                <w:szCs w:val="22"/>
                <w:lang w:val="uk-UA"/>
              </w:rPr>
              <w:t>професiйної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придатностi</w:t>
            </w:r>
            <w:proofErr w:type="spellEnd"/>
            <w:r w:rsidRPr="004229C1">
              <w:rPr>
                <w:rFonts w:ascii="Times New Roman" w:hAnsi="Times New Roman" w:cs="Times New Roman"/>
                <w:kern w:val="0"/>
                <w:sz w:val="22"/>
                <w:szCs w:val="22"/>
                <w:lang w:val="uk-UA"/>
              </w:rPr>
              <w:t>.</w:t>
            </w:r>
          </w:p>
        </w:tc>
      </w:tr>
      <w:tr w:rsidR="007469BF" w:rsidRPr="004229C1" w14:paraId="16CC8591" w14:textId="77777777">
        <w:trPr>
          <w:trHeight w:val="200"/>
        </w:trPr>
        <w:tc>
          <w:tcPr>
            <w:tcW w:w="4000" w:type="dxa"/>
            <w:tcBorders>
              <w:top w:val="single" w:sz="6" w:space="0" w:color="auto"/>
              <w:bottom w:val="single" w:sz="6" w:space="0" w:color="auto"/>
              <w:right w:val="single" w:sz="6" w:space="0" w:color="auto"/>
            </w:tcBorders>
          </w:tcPr>
          <w:p w14:paraId="2C9973B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15F9AA2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2601314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Вимоги </w:t>
            </w:r>
            <w:proofErr w:type="spellStart"/>
            <w:r w:rsidRPr="004229C1">
              <w:rPr>
                <w:rFonts w:ascii="Times New Roman" w:hAnsi="Times New Roman" w:cs="Times New Roman"/>
                <w:kern w:val="0"/>
                <w:sz w:val="22"/>
                <w:szCs w:val="22"/>
                <w:lang w:val="uk-UA"/>
              </w:rPr>
              <w:t>передбаченi</w:t>
            </w:r>
            <w:proofErr w:type="spellEnd"/>
            <w:r w:rsidRPr="004229C1">
              <w:rPr>
                <w:rFonts w:ascii="Times New Roman" w:hAnsi="Times New Roman" w:cs="Times New Roman"/>
                <w:kern w:val="0"/>
                <w:sz w:val="22"/>
                <w:szCs w:val="22"/>
                <w:lang w:val="uk-UA"/>
              </w:rPr>
              <w:t xml:space="preserve"> Процедурою щодо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вимогам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посадових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керiвникiв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контролю Банку АТ "ПРАВЕКС БАНК", затвердженої Наглядовою Радою 31.05.2021 (протокол № 8_21, питання 15 порядку денного).</w:t>
            </w:r>
          </w:p>
        </w:tc>
      </w:tr>
      <w:tr w:rsidR="007469BF" w:rsidRPr="004229C1" w14:paraId="2188A6BD" w14:textId="77777777">
        <w:trPr>
          <w:trHeight w:val="200"/>
        </w:trPr>
        <w:tc>
          <w:tcPr>
            <w:tcW w:w="4000" w:type="dxa"/>
            <w:tcBorders>
              <w:top w:val="single" w:sz="6" w:space="0" w:color="auto"/>
              <w:bottom w:val="single" w:sz="6" w:space="0" w:color="auto"/>
              <w:right w:val="single" w:sz="6" w:space="0" w:color="auto"/>
            </w:tcBorders>
          </w:tcPr>
          <w:p w14:paraId="3F2CC4C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14:paraId="3387131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5FF3A833"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Вiдбiр</w:t>
            </w:r>
            <w:proofErr w:type="spellEnd"/>
            <w:r w:rsidRPr="004229C1">
              <w:rPr>
                <w:rFonts w:ascii="Times New Roman" w:hAnsi="Times New Roman" w:cs="Times New Roman"/>
                <w:kern w:val="0"/>
                <w:sz w:val="22"/>
                <w:szCs w:val="22"/>
                <w:lang w:val="uk-UA"/>
              </w:rPr>
              <w:t xml:space="preserve"> та призначення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вiдбувається</w:t>
            </w:r>
            <w:proofErr w:type="spellEnd"/>
            <w:r w:rsidRPr="004229C1">
              <w:rPr>
                <w:rFonts w:ascii="Times New Roman" w:hAnsi="Times New Roman" w:cs="Times New Roman"/>
                <w:kern w:val="0"/>
                <w:sz w:val="22"/>
                <w:szCs w:val="22"/>
                <w:lang w:val="uk-UA"/>
              </w:rPr>
              <w:t xml:space="preserve"> на </w:t>
            </w:r>
            <w:proofErr w:type="spellStart"/>
            <w:r w:rsidRPr="004229C1">
              <w:rPr>
                <w:rFonts w:ascii="Times New Roman" w:hAnsi="Times New Roman" w:cs="Times New Roman"/>
                <w:kern w:val="0"/>
                <w:sz w:val="22"/>
                <w:szCs w:val="22"/>
                <w:lang w:val="uk-UA"/>
              </w:rPr>
              <w:t>основi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професiйних</w:t>
            </w:r>
            <w:proofErr w:type="spellEnd"/>
            <w:r w:rsidRPr="004229C1">
              <w:rPr>
                <w:rFonts w:ascii="Times New Roman" w:hAnsi="Times New Roman" w:cs="Times New Roman"/>
                <w:kern w:val="0"/>
                <w:sz w:val="22"/>
                <w:szCs w:val="22"/>
                <w:lang w:val="uk-UA"/>
              </w:rPr>
              <w:t xml:space="preserve"> якостей, досягнень i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кандидатiв</w:t>
            </w:r>
            <w:proofErr w:type="spellEnd"/>
            <w:r w:rsidRPr="004229C1">
              <w:rPr>
                <w:rFonts w:ascii="Times New Roman" w:hAnsi="Times New Roman" w:cs="Times New Roman"/>
                <w:kern w:val="0"/>
                <w:sz w:val="22"/>
                <w:szCs w:val="22"/>
                <w:lang w:val="uk-UA"/>
              </w:rPr>
              <w:t xml:space="preserve"> конкретним </w:t>
            </w:r>
            <w:proofErr w:type="spellStart"/>
            <w:r w:rsidRPr="004229C1">
              <w:rPr>
                <w:rFonts w:ascii="Times New Roman" w:hAnsi="Times New Roman" w:cs="Times New Roman"/>
                <w:kern w:val="0"/>
                <w:sz w:val="22"/>
                <w:szCs w:val="22"/>
                <w:lang w:val="uk-UA"/>
              </w:rPr>
              <w:t>критерiям</w:t>
            </w:r>
            <w:proofErr w:type="spellEnd"/>
            <w:r w:rsidRPr="004229C1">
              <w:rPr>
                <w:rFonts w:ascii="Times New Roman" w:hAnsi="Times New Roman" w:cs="Times New Roman"/>
                <w:kern w:val="0"/>
                <w:sz w:val="22"/>
                <w:szCs w:val="22"/>
                <w:lang w:val="uk-UA"/>
              </w:rPr>
              <w:t xml:space="preserve">, а також з урахуванням </w:t>
            </w:r>
            <w:proofErr w:type="spellStart"/>
            <w:r w:rsidRPr="004229C1">
              <w:rPr>
                <w:rFonts w:ascii="Times New Roman" w:hAnsi="Times New Roman" w:cs="Times New Roman"/>
                <w:kern w:val="0"/>
                <w:sz w:val="22"/>
                <w:szCs w:val="22"/>
                <w:lang w:val="uk-UA"/>
              </w:rPr>
              <w:t>необхiдностi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перiодичного</w:t>
            </w:r>
            <w:proofErr w:type="spellEnd"/>
            <w:r w:rsidRPr="004229C1">
              <w:rPr>
                <w:rFonts w:ascii="Times New Roman" w:hAnsi="Times New Roman" w:cs="Times New Roman"/>
                <w:kern w:val="0"/>
                <w:sz w:val="22"/>
                <w:szCs w:val="22"/>
                <w:lang w:val="uk-UA"/>
              </w:rPr>
              <w:t xml:space="preserve"> оновлення складу передбачено Процедурою щодо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вимогам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посадових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керiвникiв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контролю Банку АТ "ПРАВЕКС БАНК", затвердженої Наглядовою Радою 31.05.2021 (протокол № 8_21, питання 15 порядку денного).</w:t>
            </w:r>
          </w:p>
        </w:tc>
      </w:tr>
      <w:tr w:rsidR="007469BF" w:rsidRPr="004229C1" w14:paraId="690542D8" w14:textId="77777777">
        <w:trPr>
          <w:trHeight w:val="200"/>
        </w:trPr>
        <w:tc>
          <w:tcPr>
            <w:tcW w:w="4000" w:type="dxa"/>
            <w:tcBorders>
              <w:top w:val="single" w:sz="6" w:space="0" w:color="auto"/>
              <w:bottom w:val="single" w:sz="6" w:space="0" w:color="auto"/>
              <w:right w:val="single" w:sz="6" w:space="0" w:color="auto"/>
            </w:tcBorders>
          </w:tcPr>
          <w:p w14:paraId="12715DF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auto"/>
              <w:left w:val="single" w:sz="6" w:space="0" w:color="auto"/>
              <w:bottom w:val="single" w:sz="6" w:space="0" w:color="auto"/>
              <w:right w:val="single" w:sz="6" w:space="0" w:color="auto"/>
            </w:tcBorders>
          </w:tcPr>
          <w:p w14:paraId="222E237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5F12A30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Процедура </w:t>
            </w:r>
            <w:proofErr w:type="spellStart"/>
            <w:r w:rsidRPr="004229C1">
              <w:rPr>
                <w:rFonts w:ascii="Times New Roman" w:hAnsi="Times New Roman" w:cs="Times New Roman"/>
                <w:kern w:val="0"/>
                <w:sz w:val="22"/>
                <w:szCs w:val="22"/>
                <w:lang w:val="uk-UA"/>
              </w:rPr>
              <w:t>перевiрки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кандидатiв</w:t>
            </w:r>
            <w:proofErr w:type="spellEnd"/>
            <w:r w:rsidRPr="004229C1">
              <w:rPr>
                <w:rFonts w:ascii="Times New Roman" w:hAnsi="Times New Roman" w:cs="Times New Roman"/>
                <w:kern w:val="0"/>
                <w:sz w:val="22"/>
                <w:szCs w:val="22"/>
                <w:lang w:val="uk-UA"/>
              </w:rPr>
              <w:t xml:space="preserve"> у члени наглядової ради, яка зокрема включає </w:t>
            </w:r>
            <w:proofErr w:type="spellStart"/>
            <w:r w:rsidRPr="004229C1">
              <w:rPr>
                <w:rFonts w:ascii="Times New Roman" w:hAnsi="Times New Roman" w:cs="Times New Roman"/>
                <w:kern w:val="0"/>
                <w:sz w:val="22"/>
                <w:szCs w:val="22"/>
                <w:lang w:val="uk-UA"/>
              </w:rPr>
              <w:t>перевiрку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добропорядностi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наявностi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конфлiкту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iнтересiв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компетентностi</w:t>
            </w:r>
            <w:proofErr w:type="spellEnd"/>
            <w:r w:rsidRPr="004229C1">
              <w:rPr>
                <w:rFonts w:ascii="Times New Roman" w:hAnsi="Times New Roman" w:cs="Times New Roman"/>
                <w:kern w:val="0"/>
                <w:sz w:val="22"/>
                <w:szCs w:val="22"/>
                <w:lang w:val="uk-UA"/>
              </w:rPr>
              <w:t xml:space="preserve">, навичок i </w:t>
            </w:r>
            <w:proofErr w:type="spellStart"/>
            <w:r w:rsidRPr="004229C1">
              <w:rPr>
                <w:rFonts w:ascii="Times New Roman" w:hAnsi="Times New Roman" w:cs="Times New Roman"/>
                <w:kern w:val="0"/>
                <w:sz w:val="22"/>
                <w:szCs w:val="22"/>
                <w:lang w:val="uk-UA"/>
              </w:rPr>
              <w:t>досвiду</w:t>
            </w:r>
            <w:proofErr w:type="spellEnd"/>
            <w:r w:rsidRPr="004229C1">
              <w:rPr>
                <w:rFonts w:ascii="Times New Roman" w:hAnsi="Times New Roman" w:cs="Times New Roman"/>
                <w:kern w:val="0"/>
                <w:sz w:val="22"/>
                <w:szCs w:val="22"/>
                <w:lang w:val="uk-UA"/>
              </w:rPr>
              <w:t xml:space="preserve"> кандидата передбачена Процедурою щодо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вимогам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посадових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керiвникiв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контролю Банку АТ "ПРАВЕКС БАНК", затвердженої Наглядовою Радою 31.05.2021 (протокол № 8_21, питання 15 порядку денного).</w:t>
            </w:r>
          </w:p>
        </w:tc>
      </w:tr>
      <w:tr w:rsidR="007469BF" w:rsidRPr="004229C1" w14:paraId="6BB85E33" w14:textId="77777777">
        <w:trPr>
          <w:trHeight w:val="200"/>
        </w:trPr>
        <w:tc>
          <w:tcPr>
            <w:tcW w:w="4000" w:type="dxa"/>
            <w:tcBorders>
              <w:top w:val="single" w:sz="6" w:space="0" w:color="auto"/>
              <w:bottom w:val="single" w:sz="6" w:space="0" w:color="auto"/>
              <w:right w:val="single" w:sz="6" w:space="0" w:color="auto"/>
            </w:tcBorders>
          </w:tcPr>
          <w:p w14:paraId="09E2499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auto"/>
              <w:left w:val="single" w:sz="6" w:space="0" w:color="auto"/>
              <w:bottom w:val="single" w:sz="6" w:space="0" w:color="auto"/>
              <w:right w:val="single" w:sz="6" w:space="0" w:color="auto"/>
            </w:tcBorders>
          </w:tcPr>
          <w:p w14:paraId="492ECA2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230E03E6"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Наразi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можливiсть</w:t>
            </w:r>
            <w:proofErr w:type="spellEnd"/>
            <w:r w:rsidRPr="004229C1">
              <w:rPr>
                <w:rFonts w:ascii="Times New Roman" w:hAnsi="Times New Roman" w:cs="Times New Roman"/>
                <w:kern w:val="0"/>
                <w:sz w:val="22"/>
                <w:szCs w:val="22"/>
                <w:lang w:val="uk-UA"/>
              </w:rPr>
              <w:t xml:space="preserve"> залучення </w:t>
            </w:r>
            <w:proofErr w:type="spellStart"/>
            <w:r w:rsidRPr="004229C1">
              <w:rPr>
                <w:rFonts w:ascii="Times New Roman" w:hAnsi="Times New Roman" w:cs="Times New Roman"/>
                <w:kern w:val="0"/>
                <w:sz w:val="22"/>
                <w:szCs w:val="22"/>
                <w:lang w:val="uk-UA"/>
              </w:rPr>
              <w:t>зовнiшнiх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радникiв</w:t>
            </w:r>
            <w:proofErr w:type="spellEnd"/>
            <w:r w:rsidRPr="004229C1">
              <w:rPr>
                <w:rFonts w:ascii="Times New Roman" w:hAnsi="Times New Roman" w:cs="Times New Roman"/>
                <w:kern w:val="0"/>
                <w:sz w:val="22"/>
                <w:szCs w:val="22"/>
                <w:lang w:val="uk-UA"/>
              </w:rPr>
              <w:t xml:space="preserve"> та / або процес </w:t>
            </w:r>
            <w:proofErr w:type="spellStart"/>
            <w:r w:rsidRPr="004229C1">
              <w:rPr>
                <w:rFonts w:ascii="Times New Roman" w:hAnsi="Times New Roman" w:cs="Times New Roman"/>
                <w:kern w:val="0"/>
                <w:sz w:val="22"/>
                <w:szCs w:val="22"/>
                <w:lang w:val="uk-UA"/>
              </w:rPr>
              <w:t>вiдкритого</w:t>
            </w:r>
            <w:proofErr w:type="spellEnd"/>
            <w:r w:rsidRPr="004229C1">
              <w:rPr>
                <w:rFonts w:ascii="Times New Roman" w:hAnsi="Times New Roman" w:cs="Times New Roman"/>
                <w:kern w:val="0"/>
                <w:sz w:val="22"/>
                <w:szCs w:val="22"/>
                <w:lang w:val="uk-UA"/>
              </w:rPr>
              <w:t xml:space="preserve"> пошуку не передбачено у Банку</w:t>
            </w:r>
          </w:p>
        </w:tc>
      </w:tr>
      <w:tr w:rsidR="007469BF" w:rsidRPr="004229C1" w14:paraId="521C95C1" w14:textId="77777777">
        <w:trPr>
          <w:trHeight w:val="200"/>
        </w:trPr>
        <w:tc>
          <w:tcPr>
            <w:tcW w:w="4000" w:type="dxa"/>
            <w:tcBorders>
              <w:top w:val="single" w:sz="6" w:space="0" w:color="auto"/>
              <w:bottom w:val="single" w:sz="6" w:space="0" w:color="auto"/>
              <w:right w:val="single" w:sz="6" w:space="0" w:color="auto"/>
            </w:tcBorders>
          </w:tcPr>
          <w:p w14:paraId="1B02CDF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Наглядова рада розробляє плани 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55A3D43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091051BE"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Станом на </w:t>
            </w:r>
            <w:proofErr w:type="spellStart"/>
            <w:r w:rsidRPr="004229C1">
              <w:rPr>
                <w:rFonts w:ascii="Times New Roman" w:hAnsi="Times New Roman" w:cs="Times New Roman"/>
                <w:kern w:val="0"/>
                <w:sz w:val="22"/>
                <w:szCs w:val="22"/>
                <w:lang w:val="uk-UA"/>
              </w:rPr>
              <w:t>звiтну</w:t>
            </w:r>
            <w:proofErr w:type="spellEnd"/>
            <w:r w:rsidRPr="004229C1">
              <w:rPr>
                <w:rFonts w:ascii="Times New Roman" w:hAnsi="Times New Roman" w:cs="Times New Roman"/>
                <w:kern w:val="0"/>
                <w:sz w:val="22"/>
                <w:szCs w:val="22"/>
                <w:lang w:val="uk-UA"/>
              </w:rPr>
              <w:t xml:space="preserve"> дату план наступництва для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не розроблено.</w:t>
            </w:r>
          </w:p>
        </w:tc>
      </w:tr>
      <w:tr w:rsidR="007469BF" w:rsidRPr="004229C1" w14:paraId="50060FBF" w14:textId="77777777">
        <w:trPr>
          <w:trHeight w:val="200"/>
        </w:trPr>
        <w:tc>
          <w:tcPr>
            <w:tcW w:w="4000" w:type="dxa"/>
            <w:tcBorders>
              <w:top w:val="single" w:sz="6" w:space="0" w:color="auto"/>
              <w:bottom w:val="single" w:sz="6" w:space="0" w:color="auto"/>
              <w:right w:val="single" w:sz="6" w:space="0" w:color="auto"/>
            </w:tcBorders>
          </w:tcPr>
          <w:p w14:paraId="2DA9DBA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685BE3D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284090F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Принципи </w:t>
            </w:r>
            <w:proofErr w:type="spellStart"/>
            <w:r w:rsidRPr="004229C1">
              <w:rPr>
                <w:rFonts w:ascii="Times New Roman" w:hAnsi="Times New Roman" w:cs="Times New Roman"/>
                <w:kern w:val="0"/>
                <w:sz w:val="22"/>
                <w:szCs w:val="22"/>
                <w:lang w:val="uk-UA"/>
              </w:rPr>
              <w:t>рiзноманiтностi</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iнклюзивностi</w:t>
            </w:r>
            <w:proofErr w:type="spellEnd"/>
            <w:r w:rsidRPr="004229C1">
              <w:rPr>
                <w:rFonts w:ascii="Times New Roman" w:hAnsi="Times New Roman" w:cs="Times New Roman"/>
                <w:kern w:val="0"/>
                <w:sz w:val="22"/>
                <w:szCs w:val="22"/>
                <w:lang w:val="uk-UA"/>
              </w:rPr>
              <w:t xml:space="preserve"> АТ "ПРАВЕКС БАНК", затверджено Наглядовою Радою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26.10.2021, Протокол № 15_21, питання 20 Порядку денного</w:t>
            </w:r>
          </w:p>
        </w:tc>
      </w:tr>
      <w:tr w:rsidR="007469BF" w:rsidRPr="004229C1" w14:paraId="4EE66C08" w14:textId="77777777">
        <w:trPr>
          <w:trHeight w:val="200"/>
        </w:trPr>
        <w:tc>
          <w:tcPr>
            <w:tcW w:w="4000" w:type="dxa"/>
            <w:tcBorders>
              <w:top w:val="single" w:sz="6" w:space="0" w:color="auto"/>
              <w:bottom w:val="single" w:sz="6" w:space="0" w:color="auto"/>
              <w:right w:val="single" w:sz="6" w:space="0" w:color="auto"/>
            </w:tcBorders>
          </w:tcPr>
          <w:p w14:paraId="1396FF3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22C87E0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00977EC1"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Члени Наглядової Ради Банку </w:t>
            </w:r>
            <w:proofErr w:type="spellStart"/>
            <w:r w:rsidRPr="004229C1">
              <w:rPr>
                <w:rFonts w:ascii="Times New Roman" w:hAnsi="Times New Roman" w:cs="Times New Roman"/>
                <w:kern w:val="0"/>
                <w:sz w:val="22"/>
                <w:szCs w:val="22"/>
                <w:lang w:val="uk-UA"/>
              </w:rPr>
              <w:t>жiночої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статi</w:t>
            </w:r>
            <w:proofErr w:type="spellEnd"/>
            <w:r w:rsidRPr="004229C1">
              <w:rPr>
                <w:rFonts w:ascii="Times New Roman" w:hAnsi="Times New Roman" w:cs="Times New Roman"/>
                <w:kern w:val="0"/>
                <w:sz w:val="22"/>
                <w:szCs w:val="22"/>
                <w:lang w:val="uk-UA"/>
              </w:rPr>
              <w:t xml:space="preserve"> становлять 28,6%, </w:t>
            </w:r>
            <w:proofErr w:type="spellStart"/>
            <w:r w:rsidRPr="004229C1">
              <w:rPr>
                <w:rFonts w:ascii="Times New Roman" w:hAnsi="Times New Roman" w:cs="Times New Roman"/>
                <w:kern w:val="0"/>
                <w:sz w:val="22"/>
                <w:szCs w:val="22"/>
                <w:lang w:val="uk-UA"/>
              </w:rPr>
              <w:t>чоловiчої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статi</w:t>
            </w:r>
            <w:proofErr w:type="spellEnd"/>
            <w:r w:rsidRPr="004229C1">
              <w:rPr>
                <w:rFonts w:ascii="Times New Roman" w:hAnsi="Times New Roman" w:cs="Times New Roman"/>
                <w:kern w:val="0"/>
                <w:sz w:val="22"/>
                <w:szCs w:val="22"/>
                <w:lang w:val="uk-UA"/>
              </w:rPr>
              <w:t xml:space="preserve"> - 71,4 %</w:t>
            </w:r>
          </w:p>
        </w:tc>
      </w:tr>
      <w:tr w:rsidR="007469BF" w:rsidRPr="004229C1" w14:paraId="7D69E8BA" w14:textId="77777777">
        <w:trPr>
          <w:trHeight w:val="200"/>
        </w:trPr>
        <w:tc>
          <w:tcPr>
            <w:tcW w:w="4000" w:type="dxa"/>
            <w:tcBorders>
              <w:top w:val="single" w:sz="6" w:space="0" w:color="auto"/>
              <w:bottom w:val="single" w:sz="6" w:space="0" w:color="auto"/>
              <w:right w:val="single" w:sz="6" w:space="0" w:color="auto"/>
            </w:tcBorders>
          </w:tcPr>
          <w:p w14:paraId="78CB586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14:paraId="2C0B697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4CDAED33"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Положенням про Наглядову раду передбачено, що Рада складається щонайменше з 5 (п'яти)</w:t>
            </w:r>
          </w:p>
          <w:p w14:paraId="05CAA2F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включаючи Голову Ради. Рада не менш як на одну третину має складатися з незалежних </w:t>
            </w:r>
            <w:proofErr w:type="spellStart"/>
            <w:r w:rsidRPr="004229C1">
              <w:rPr>
                <w:rFonts w:ascii="Times New Roman" w:hAnsi="Times New Roman" w:cs="Times New Roman"/>
                <w:kern w:val="0"/>
                <w:sz w:val="22"/>
                <w:szCs w:val="22"/>
                <w:lang w:val="uk-UA"/>
              </w:rPr>
              <w:t>директорiв</w:t>
            </w:r>
            <w:proofErr w:type="spellEnd"/>
            <w:r w:rsidRPr="004229C1">
              <w:rPr>
                <w:rFonts w:ascii="Times New Roman" w:hAnsi="Times New Roman" w:cs="Times New Roman"/>
                <w:kern w:val="0"/>
                <w:sz w:val="22"/>
                <w:szCs w:val="22"/>
                <w:lang w:val="uk-UA"/>
              </w:rPr>
              <w:t xml:space="preserve">, але в будь-якому випадку </w:t>
            </w:r>
            <w:proofErr w:type="spellStart"/>
            <w:r w:rsidRPr="004229C1">
              <w:rPr>
                <w:rFonts w:ascii="Times New Roman" w:hAnsi="Times New Roman" w:cs="Times New Roman"/>
                <w:kern w:val="0"/>
                <w:sz w:val="22"/>
                <w:szCs w:val="22"/>
                <w:lang w:val="uk-UA"/>
              </w:rPr>
              <w:t>кiлькiсть</w:t>
            </w:r>
            <w:proofErr w:type="spellEnd"/>
            <w:r w:rsidRPr="004229C1">
              <w:rPr>
                <w:rFonts w:ascii="Times New Roman" w:hAnsi="Times New Roman" w:cs="Times New Roman"/>
                <w:kern w:val="0"/>
                <w:sz w:val="22"/>
                <w:szCs w:val="22"/>
                <w:lang w:val="uk-UA"/>
              </w:rPr>
              <w:t xml:space="preserve"> незалежних </w:t>
            </w:r>
            <w:proofErr w:type="spellStart"/>
            <w:r w:rsidRPr="004229C1">
              <w:rPr>
                <w:rFonts w:ascii="Times New Roman" w:hAnsi="Times New Roman" w:cs="Times New Roman"/>
                <w:kern w:val="0"/>
                <w:sz w:val="22"/>
                <w:szCs w:val="22"/>
                <w:lang w:val="uk-UA"/>
              </w:rPr>
              <w:t>директорiв</w:t>
            </w:r>
            <w:proofErr w:type="spellEnd"/>
            <w:r w:rsidRPr="004229C1">
              <w:rPr>
                <w:rFonts w:ascii="Times New Roman" w:hAnsi="Times New Roman" w:cs="Times New Roman"/>
                <w:kern w:val="0"/>
                <w:sz w:val="22"/>
                <w:szCs w:val="22"/>
                <w:lang w:val="uk-UA"/>
              </w:rPr>
              <w:t xml:space="preserve"> не може бути менше 3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 xml:space="preserve">. Станом на </w:t>
            </w:r>
            <w:proofErr w:type="spellStart"/>
            <w:r w:rsidRPr="004229C1">
              <w:rPr>
                <w:rFonts w:ascii="Times New Roman" w:hAnsi="Times New Roman" w:cs="Times New Roman"/>
                <w:kern w:val="0"/>
                <w:sz w:val="22"/>
                <w:szCs w:val="22"/>
                <w:lang w:val="uk-UA"/>
              </w:rPr>
              <w:t>звiтну</w:t>
            </w:r>
            <w:proofErr w:type="spellEnd"/>
            <w:r w:rsidRPr="004229C1">
              <w:rPr>
                <w:rFonts w:ascii="Times New Roman" w:hAnsi="Times New Roman" w:cs="Times New Roman"/>
                <w:kern w:val="0"/>
                <w:sz w:val="22"/>
                <w:szCs w:val="22"/>
                <w:lang w:val="uk-UA"/>
              </w:rPr>
              <w:t xml:space="preserve"> дату до складу Наглядової Ради входять 7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w:t>
            </w:r>
          </w:p>
          <w:p w14:paraId="49DB4EC6" w14:textId="77777777" w:rsidR="007469BF" w:rsidRPr="004229C1" w:rsidRDefault="007469B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7469BF" w:rsidRPr="004229C1" w14:paraId="67ED6C1C" w14:textId="77777777">
        <w:trPr>
          <w:trHeight w:val="200"/>
        </w:trPr>
        <w:tc>
          <w:tcPr>
            <w:tcW w:w="4000" w:type="dxa"/>
            <w:tcBorders>
              <w:top w:val="single" w:sz="6" w:space="0" w:color="auto"/>
              <w:bottom w:val="single" w:sz="6" w:space="0" w:color="auto"/>
              <w:right w:val="single" w:sz="6" w:space="0" w:color="auto"/>
            </w:tcBorders>
          </w:tcPr>
          <w:p w14:paraId="63122FD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Члени наглядової ради проходять вступний тренінг після їх обрання, який серед іншого покриває:</w:t>
            </w:r>
          </w:p>
          <w:p w14:paraId="4BC31AB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а) обов'язки, функції і сфери відповідальності членів наглядової ради;</w:t>
            </w:r>
          </w:p>
          <w:p w14:paraId="16E4816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 незалежність, включаючи незалежність мислення;</w:t>
            </w:r>
          </w:p>
          <w:p w14:paraId="5744F24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порядок роботи наглядової ради;</w:t>
            </w:r>
          </w:p>
          <w:p w14:paraId="0B0E9D6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г) питання відповідальності;</w:t>
            </w:r>
          </w:p>
          <w:p w14:paraId="4AB9409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ґ) питання стратегії особи;</w:t>
            </w:r>
          </w:p>
          <w:p w14:paraId="3FEF1E2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 політики особи, включаючи питання етики, конфлікту інтересів та запобігання корупції;</w:t>
            </w:r>
          </w:p>
          <w:p w14:paraId="53653E7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е) питання звітності та систем контролю, включаючи внутрішній та зовнішній аудит;</w:t>
            </w:r>
          </w:p>
          <w:p w14:paraId="6E1B770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2EB2798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0FEBE64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Корпоративний секретар </w:t>
            </w:r>
            <w:proofErr w:type="spellStart"/>
            <w:r w:rsidRPr="004229C1">
              <w:rPr>
                <w:rFonts w:ascii="Times New Roman" w:hAnsi="Times New Roman" w:cs="Times New Roman"/>
                <w:kern w:val="0"/>
                <w:sz w:val="22"/>
                <w:szCs w:val="22"/>
                <w:lang w:val="uk-UA"/>
              </w:rPr>
              <w:t>iз</w:t>
            </w:r>
            <w:proofErr w:type="spellEnd"/>
            <w:r w:rsidRPr="004229C1">
              <w:rPr>
                <w:rFonts w:ascii="Times New Roman" w:hAnsi="Times New Roman" w:cs="Times New Roman"/>
                <w:kern w:val="0"/>
                <w:sz w:val="22"/>
                <w:szCs w:val="22"/>
                <w:lang w:val="uk-UA"/>
              </w:rPr>
              <w:t xml:space="preserve"> залученням департаменту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персоналом та </w:t>
            </w:r>
            <w:proofErr w:type="spellStart"/>
            <w:r w:rsidRPr="004229C1">
              <w:rPr>
                <w:rFonts w:ascii="Times New Roman" w:hAnsi="Times New Roman" w:cs="Times New Roman"/>
                <w:kern w:val="0"/>
                <w:sz w:val="22"/>
                <w:szCs w:val="22"/>
                <w:lang w:val="uk-UA"/>
              </w:rPr>
              <w:t>органiзацiйними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змiнами</w:t>
            </w:r>
            <w:proofErr w:type="spellEnd"/>
            <w:r w:rsidRPr="004229C1">
              <w:rPr>
                <w:rFonts w:ascii="Times New Roman" w:hAnsi="Times New Roman" w:cs="Times New Roman"/>
                <w:kern w:val="0"/>
                <w:sz w:val="22"/>
                <w:szCs w:val="22"/>
                <w:lang w:val="uk-UA"/>
              </w:rPr>
              <w:t xml:space="preserve">, та за </w:t>
            </w:r>
            <w:proofErr w:type="spellStart"/>
            <w:r w:rsidRPr="004229C1">
              <w:rPr>
                <w:rFonts w:ascii="Times New Roman" w:hAnsi="Times New Roman" w:cs="Times New Roman"/>
                <w:kern w:val="0"/>
                <w:sz w:val="22"/>
                <w:szCs w:val="22"/>
                <w:lang w:val="uk-UA"/>
              </w:rPr>
              <w:t>необхiдностi</w:t>
            </w:r>
            <w:proofErr w:type="spellEnd"/>
            <w:r w:rsidRPr="004229C1">
              <w:rPr>
                <w:rFonts w:ascii="Times New Roman" w:hAnsi="Times New Roman" w:cs="Times New Roman"/>
                <w:kern w:val="0"/>
                <w:sz w:val="22"/>
                <w:szCs w:val="22"/>
                <w:lang w:val="uk-UA"/>
              </w:rPr>
              <w:t xml:space="preserve"> - </w:t>
            </w:r>
            <w:proofErr w:type="spellStart"/>
            <w:r w:rsidRPr="004229C1">
              <w:rPr>
                <w:rFonts w:ascii="Times New Roman" w:hAnsi="Times New Roman" w:cs="Times New Roman"/>
                <w:kern w:val="0"/>
                <w:sz w:val="22"/>
                <w:szCs w:val="22"/>
                <w:lang w:val="uk-UA"/>
              </w:rPr>
              <w:t>вiдповiдного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пiдроздiлу</w:t>
            </w:r>
            <w:proofErr w:type="spellEnd"/>
            <w:r w:rsidRPr="004229C1">
              <w:rPr>
                <w:rFonts w:ascii="Times New Roman" w:hAnsi="Times New Roman" w:cs="Times New Roman"/>
                <w:kern w:val="0"/>
                <w:sz w:val="22"/>
                <w:szCs w:val="22"/>
                <w:lang w:val="uk-UA"/>
              </w:rPr>
              <w:t xml:space="preserve"> Групи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готує та надає всю </w:t>
            </w:r>
            <w:proofErr w:type="spellStart"/>
            <w:r w:rsidRPr="004229C1">
              <w:rPr>
                <w:rFonts w:ascii="Times New Roman" w:hAnsi="Times New Roman" w:cs="Times New Roman"/>
                <w:kern w:val="0"/>
                <w:sz w:val="22"/>
                <w:szCs w:val="22"/>
                <w:lang w:val="uk-UA"/>
              </w:rPr>
              <w:t>необхiдну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iнформацiю</w:t>
            </w:r>
            <w:proofErr w:type="spellEnd"/>
            <w:r w:rsidRPr="004229C1">
              <w:rPr>
                <w:rFonts w:ascii="Times New Roman" w:hAnsi="Times New Roman" w:cs="Times New Roman"/>
                <w:kern w:val="0"/>
                <w:sz w:val="22"/>
                <w:szCs w:val="22"/>
                <w:lang w:val="uk-UA"/>
              </w:rPr>
              <w:t xml:space="preserve">. За </w:t>
            </w:r>
            <w:proofErr w:type="spellStart"/>
            <w:r w:rsidRPr="004229C1">
              <w:rPr>
                <w:rFonts w:ascii="Times New Roman" w:hAnsi="Times New Roman" w:cs="Times New Roman"/>
                <w:kern w:val="0"/>
                <w:sz w:val="22"/>
                <w:szCs w:val="22"/>
                <w:lang w:val="uk-UA"/>
              </w:rPr>
              <w:t>необхiдностi</w:t>
            </w:r>
            <w:proofErr w:type="spellEnd"/>
            <w:r w:rsidRPr="004229C1">
              <w:rPr>
                <w:rFonts w:ascii="Times New Roman" w:hAnsi="Times New Roman" w:cs="Times New Roman"/>
                <w:kern w:val="0"/>
                <w:sz w:val="22"/>
                <w:szCs w:val="22"/>
                <w:lang w:val="uk-UA"/>
              </w:rPr>
              <w:t xml:space="preserve"> - проводиться додаткове навчання.</w:t>
            </w:r>
          </w:p>
        </w:tc>
      </w:tr>
      <w:tr w:rsidR="007469BF" w:rsidRPr="004229C1" w14:paraId="15FAE371" w14:textId="77777777">
        <w:trPr>
          <w:trHeight w:val="200"/>
        </w:trPr>
        <w:tc>
          <w:tcPr>
            <w:tcW w:w="4000" w:type="dxa"/>
            <w:tcBorders>
              <w:top w:val="single" w:sz="6" w:space="0" w:color="auto"/>
              <w:bottom w:val="single" w:sz="6" w:space="0" w:color="auto"/>
              <w:right w:val="single" w:sz="6" w:space="0" w:color="auto"/>
            </w:tcBorders>
          </w:tcPr>
          <w:p w14:paraId="1A594AD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14:paraId="6E99A7D8"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7C9061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За </w:t>
            </w:r>
            <w:proofErr w:type="spellStart"/>
            <w:r w:rsidRPr="004229C1">
              <w:rPr>
                <w:rFonts w:ascii="Times New Roman" w:hAnsi="Times New Roman" w:cs="Times New Roman"/>
                <w:kern w:val="0"/>
                <w:sz w:val="22"/>
                <w:szCs w:val="22"/>
                <w:lang w:val="uk-UA"/>
              </w:rPr>
              <w:t>пiдтримки</w:t>
            </w:r>
            <w:proofErr w:type="spellEnd"/>
            <w:r w:rsidRPr="004229C1">
              <w:rPr>
                <w:rFonts w:ascii="Times New Roman" w:hAnsi="Times New Roman" w:cs="Times New Roman"/>
                <w:kern w:val="0"/>
                <w:sz w:val="22"/>
                <w:szCs w:val="22"/>
                <w:lang w:val="uk-UA"/>
              </w:rPr>
              <w:t xml:space="preserve"> Групи </w:t>
            </w:r>
            <w:proofErr w:type="spellStart"/>
            <w:r w:rsidRPr="004229C1">
              <w:rPr>
                <w:rFonts w:ascii="Times New Roman" w:hAnsi="Times New Roman" w:cs="Times New Roman"/>
                <w:kern w:val="0"/>
                <w:sz w:val="22"/>
                <w:szCs w:val="22"/>
                <w:lang w:val="uk-UA"/>
              </w:rPr>
              <w:t>Iнтеза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належним чином проводяться </w:t>
            </w:r>
            <w:proofErr w:type="spellStart"/>
            <w:r w:rsidRPr="004229C1">
              <w:rPr>
                <w:rFonts w:ascii="Times New Roman" w:hAnsi="Times New Roman" w:cs="Times New Roman"/>
                <w:kern w:val="0"/>
                <w:sz w:val="22"/>
                <w:szCs w:val="22"/>
                <w:lang w:val="uk-UA"/>
              </w:rPr>
              <w:t>тренiнги</w:t>
            </w:r>
            <w:proofErr w:type="spellEnd"/>
            <w:r w:rsidRPr="004229C1">
              <w:rPr>
                <w:rFonts w:ascii="Times New Roman" w:hAnsi="Times New Roman" w:cs="Times New Roman"/>
                <w:kern w:val="0"/>
                <w:sz w:val="22"/>
                <w:szCs w:val="22"/>
                <w:lang w:val="uk-UA"/>
              </w:rPr>
              <w:t xml:space="preserve"> для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вiдповiдно</w:t>
            </w:r>
            <w:proofErr w:type="spellEnd"/>
            <w:r w:rsidRPr="004229C1">
              <w:rPr>
                <w:rFonts w:ascii="Times New Roman" w:hAnsi="Times New Roman" w:cs="Times New Roman"/>
                <w:kern w:val="0"/>
                <w:sz w:val="22"/>
                <w:szCs w:val="22"/>
                <w:lang w:val="uk-UA"/>
              </w:rPr>
              <w:t xml:space="preserve"> до плану. </w:t>
            </w:r>
          </w:p>
        </w:tc>
      </w:tr>
      <w:tr w:rsidR="007469BF" w:rsidRPr="004229C1" w14:paraId="37F0851A" w14:textId="77777777">
        <w:trPr>
          <w:trHeight w:val="200"/>
        </w:trPr>
        <w:tc>
          <w:tcPr>
            <w:tcW w:w="4000" w:type="dxa"/>
            <w:tcBorders>
              <w:top w:val="single" w:sz="6" w:space="0" w:color="auto"/>
              <w:bottom w:val="single" w:sz="6" w:space="0" w:color="auto"/>
              <w:right w:val="single" w:sz="6" w:space="0" w:color="auto"/>
            </w:tcBorders>
          </w:tcPr>
          <w:p w14:paraId="54F4260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Голову наглядової ради обрано 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14:paraId="35642C1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5EFD569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Вiдповiдно</w:t>
            </w:r>
            <w:proofErr w:type="spellEnd"/>
            <w:r w:rsidRPr="004229C1">
              <w:rPr>
                <w:rFonts w:ascii="Times New Roman" w:hAnsi="Times New Roman" w:cs="Times New Roman"/>
                <w:kern w:val="0"/>
                <w:sz w:val="22"/>
                <w:szCs w:val="22"/>
                <w:lang w:val="uk-UA"/>
              </w:rPr>
              <w:t xml:space="preserve"> до Положення про Наглядову Раду та положень законодавства           Голова Наглядової Ради обирається членами Наглядової Ради з їх числа простою </w:t>
            </w:r>
            <w:proofErr w:type="spellStart"/>
            <w:r w:rsidRPr="004229C1">
              <w:rPr>
                <w:rFonts w:ascii="Times New Roman" w:hAnsi="Times New Roman" w:cs="Times New Roman"/>
                <w:kern w:val="0"/>
                <w:sz w:val="22"/>
                <w:szCs w:val="22"/>
                <w:lang w:val="uk-UA"/>
              </w:rPr>
              <w:t>бiльшiстю</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голосiв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загального </w:t>
            </w:r>
            <w:proofErr w:type="spellStart"/>
            <w:r w:rsidRPr="004229C1">
              <w:rPr>
                <w:rFonts w:ascii="Times New Roman" w:hAnsi="Times New Roman" w:cs="Times New Roman"/>
                <w:kern w:val="0"/>
                <w:sz w:val="22"/>
                <w:szCs w:val="22"/>
                <w:lang w:val="uk-UA"/>
              </w:rPr>
              <w:t>кiлькiсного</w:t>
            </w:r>
            <w:proofErr w:type="spellEnd"/>
            <w:r w:rsidRPr="004229C1">
              <w:rPr>
                <w:rFonts w:ascii="Times New Roman" w:hAnsi="Times New Roman" w:cs="Times New Roman"/>
                <w:kern w:val="0"/>
                <w:sz w:val="22"/>
                <w:szCs w:val="22"/>
                <w:lang w:val="uk-UA"/>
              </w:rPr>
              <w:t xml:space="preserve"> складу Наглядової Ради. За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Наглядової Ради - Головою Наглядової Ради обрано представника </w:t>
            </w:r>
            <w:proofErr w:type="spellStart"/>
            <w:r w:rsidRPr="004229C1">
              <w:rPr>
                <w:rFonts w:ascii="Times New Roman" w:hAnsi="Times New Roman" w:cs="Times New Roman"/>
                <w:kern w:val="0"/>
                <w:sz w:val="22"/>
                <w:szCs w:val="22"/>
                <w:lang w:val="uk-UA"/>
              </w:rPr>
              <w:t>акцiонера</w:t>
            </w:r>
            <w:proofErr w:type="spellEnd"/>
            <w:r w:rsidRPr="004229C1">
              <w:rPr>
                <w:rFonts w:ascii="Times New Roman" w:hAnsi="Times New Roman" w:cs="Times New Roman"/>
                <w:kern w:val="0"/>
                <w:sz w:val="22"/>
                <w:szCs w:val="22"/>
                <w:lang w:val="uk-UA"/>
              </w:rPr>
              <w:t>.</w:t>
            </w:r>
          </w:p>
        </w:tc>
      </w:tr>
      <w:tr w:rsidR="007469BF" w:rsidRPr="004229C1" w14:paraId="7F90BCA2" w14:textId="77777777">
        <w:trPr>
          <w:trHeight w:val="200"/>
        </w:trPr>
        <w:tc>
          <w:tcPr>
            <w:tcW w:w="4000" w:type="dxa"/>
            <w:tcBorders>
              <w:top w:val="single" w:sz="6" w:space="0" w:color="auto"/>
              <w:bottom w:val="single" w:sz="6" w:space="0" w:color="auto"/>
              <w:right w:val="single" w:sz="6" w:space="0" w:color="auto"/>
            </w:tcBorders>
          </w:tcPr>
          <w:p w14:paraId="212EF58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14:paraId="218E605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E139039"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Головi</w:t>
            </w:r>
            <w:proofErr w:type="spellEnd"/>
            <w:r w:rsidRPr="004229C1">
              <w:rPr>
                <w:rFonts w:ascii="Times New Roman" w:hAnsi="Times New Roman" w:cs="Times New Roman"/>
                <w:kern w:val="0"/>
                <w:sz w:val="22"/>
                <w:szCs w:val="22"/>
                <w:lang w:val="uk-UA"/>
              </w:rPr>
              <w:t xml:space="preserve"> Наглядової ради забезпечено </w:t>
            </w:r>
            <w:proofErr w:type="spellStart"/>
            <w:r w:rsidRPr="004229C1">
              <w:rPr>
                <w:rFonts w:ascii="Times New Roman" w:hAnsi="Times New Roman" w:cs="Times New Roman"/>
                <w:kern w:val="0"/>
                <w:sz w:val="22"/>
                <w:szCs w:val="22"/>
                <w:lang w:val="uk-UA"/>
              </w:rPr>
              <w:t>можливiсть</w:t>
            </w:r>
            <w:proofErr w:type="spellEnd"/>
            <w:r w:rsidRPr="004229C1">
              <w:rPr>
                <w:rFonts w:ascii="Times New Roman" w:hAnsi="Times New Roman" w:cs="Times New Roman"/>
                <w:kern w:val="0"/>
                <w:sz w:val="22"/>
                <w:szCs w:val="22"/>
                <w:lang w:val="uk-UA"/>
              </w:rPr>
              <w:t xml:space="preserve"> для </w:t>
            </w:r>
            <w:proofErr w:type="spellStart"/>
            <w:r w:rsidRPr="004229C1">
              <w:rPr>
                <w:rFonts w:ascii="Times New Roman" w:hAnsi="Times New Roman" w:cs="Times New Roman"/>
                <w:kern w:val="0"/>
                <w:sz w:val="22"/>
                <w:szCs w:val="22"/>
                <w:lang w:val="uk-UA"/>
              </w:rPr>
              <w:t>комунiкацiї</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акцiонерами</w:t>
            </w:r>
            <w:proofErr w:type="spellEnd"/>
            <w:r w:rsidRPr="004229C1">
              <w:rPr>
                <w:rFonts w:ascii="Times New Roman" w:hAnsi="Times New Roman" w:cs="Times New Roman"/>
                <w:kern w:val="0"/>
                <w:sz w:val="22"/>
                <w:szCs w:val="22"/>
                <w:lang w:val="uk-UA"/>
              </w:rPr>
              <w:t xml:space="preserve">. Корпоративний секретар забезпечує та сприяє </w:t>
            </w:r>
            <w:proofErr w:type="spellStart"/>
            <w:r w:rsidRPr="004229C1">
              <w:rPr>
                <w:rFonts w:ascii="Times New Roman" w:hAnsi="Times New Roman" w:cs="Times New Roman"/>
                <w:kern w:val="0"/>
                <w:sz w:val="22"/>
                <w:szCs w:val="22"/>
                <w:lang w:val="uk-UA"/>
              </w:rPr>
              <w:t>такiй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можливостi</w:t>
            </w:r>
            <w:proofErr w:type="spellEnd"/>
            <w:r w:rsidRPr="004229C1">
              <w:rPr>
                <w:rFonts w:ascii="Times New Roman" w:hAnsi="Times New Roman" w:cs="Times New Roman"/>
                <w:kern w:val="0"/>
                <w:sz w:val="22"/>
                <w:szCs w:val="22"/>
                <w:lang w:val="uk-UA"/>
              </w:rPr>
              <w:t>.</w:t>
            </w:r>
          </w:p>
        </w:tc>
      </w:tr>
      <w:tr w:rsidR="007469BF" w:rsidRPr="004229C1" w14:paraId="330C7ED0" w14:textId="77777777">
        <w:trPr>
          <w:trHeight w:val="200"/>
        </w:trPr>
        <w:tc>
          <w:tcPr>
            <w:tcW w:w="4000" w:type="dxa"/>
            <w:tcBorders>
              <w:top w:val="single" w:sz="6" w:space="0" w:color="auto"/>
              <w:bottom w:val="single" w:sz="6" w:space="0" w:color="auto"/>
              <w:right w:val="single" w:sz="6" w:space="0" w:color="auto"/>
            </w:tcBorders>
          </w:tcPr>
          <w:p w14:paraId="6EA1A2A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14:paraId="49E936E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2ED4213"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Функцiї</w:t>
            </w:r>
            <w:proofErr w:type="spellEnd"/>
            <w:r w:rsidRPr="004229C1">
              <w:rPr>
                <w:rFonts w:ascii="Times New Roman" w:hAnsi="Times New Roman" w:cs="Times New Roman"/>
                <w:kern w:val="0"/>
                <w:sz w:val="22"/>
                <w:szCs w:val="22"/>
                <w:lang w:val="uk-UA"/>
              </w:rPr>
              <w:t xml:space="preserve"> Голови Наглядової Ради </w:t>
            </w:r>
            <w:proofErr w:type="spellStart"/>
            <w:r w:rsidRPr="004229C1">
              <w:rPr>
                <w:rFonts w:ascii="Times New Roman" w:hAnsi="Times New Roman" w:cs="Times New Roman"/>
                <w:kern w:val="0"/>
                <w:sz w:val="22"/>
                <w:szCs w:val="22"/>
                <w:lang w:val="uk-UA"/>
              </w:rPr>
              <w:t>передбаченi</w:t>
            </w:r>
            <w:proofErr w:type="spellEnd"/>
            <w:r w:rsidRPr="004229C1">
              <w:rPr>
                <w:rFonts w:ascii="Times New Roman" w:hAnsi="Times New Roman" w:cs="Times New Roman"/>
                <w:kern w:val="0"/>
                <w:sz w:val="22"/>
                <w:szCs w:val="22"/>
                <w:lang w:val="uk-UA"/>
              </w:rPr>
              <w:t xml:space="preserve"> Положенням про Наглядову Раду.</w:t>
            </w:r>
          </w:p>
        </w:tc>
      </w:tr>
      <w:tr w:rsidR="007469BF" w:rsidRPr="004229C1" w14:paraId="4ECA1E16" w14:textId="77777777">
        <w:trPr>
          <w:trHeight w:val="200"/>
        </w:trPr>
        <w:tc>
          <w:tcPr>
            <w:tcW w:w="4000" w:type="dxa"/>
            <w:tcBorders>
              <w:top w:val="single" w:sz="6" w:space="0" w:color="auto"/>
              <w:bottom w:val="single" w:sz="6" w:space="0" w:color="auto"/>
              <w:right w:val="single" w:sz="6" w:space="0" w:color="auto"/>
            </w:tcBorders>
          </w:tcPr>
          <w:p w14:paraId="0169B5F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14:paraId="4F76E51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F3EFF05"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Посада корпоративного секретаря створена у Банку та корпоративного секретаря призначено за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Наглядової Ради</w:t>
            </w:r>
          </w:p>
        </w:tc>
      </w:tr>
      <w:tr w:rsidR="007469BF" w:rsidRPr="004229C1" w14:paraId="4A857164" w14:textId="77777777">
        <w:trPr>
          <w:trHeight w:val="200"/>
        </w:trPr>
        <w:tc>
          <w:tcPr>
            <w:tcW w:w="10000" w:type="dxa"/>
            <w:gridSpan w:val="3"/>
            <w:tcBorders>
              <w:top w:val="single" w:sz="6" w:space="0" w:color="auto"/>
              <w:bottom w:val="single" w:sz="6" w:space="0" w:color="auto"/>
            </w:tcBorders>
          </w:tcPr>
          <w:p w14:paraId="3AF0FF7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1) комітети наглядової ради</w:t>
            </w:r>
          </w:p>
        </w:tc>
      </w:tr>
      <w:tr w:rsidR="007469BF" w:rsidRPr="004229C1" w14:paraId="1C6CA81C" w14:textId="77777777">
        <w:trPr>
          <w:trHeight w:val="200"/>
        </w:trPr>
        <w:tc>
          <w:tcPr>
            <w:tcW w:w="4000" w:type="dxa"/>
            <w:tcBorders>
              <w:top w:val="single" w:sz="6" w:space="0" w:color="auto"/>
              <w:bottom w:val="single" w:sz="6" w:space="0" w:color="auto"/>
              <w:right w:val="single" w:sz="6" w:space="0" w:color="auto"/>
            </w:tcBorders>
          </w:tcPr>
          <w:p w14:paraId="7C5BD82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Наглядовою радою створено комітети та затверджені внутрішні документи, які регулюють їх діяльність</w:t>
            </w:r>
          </w:p>
        </w:tc>
        <w:tc>
          <w:tcPr>
            <w:tcW w:w="1500" w:type="dxa"/>
            <w:tcBorders>
              <w:top w:val="single" w:sz="6" w:space="0" w:color="auto"/>
              <w:left w:val="single" w:sz="6" w:space="0" w:color="auto"/>
              <w:bottom w:val="single" w:sz="6" w:space="0" w:color="auto"/>
              <w:right w:val="single" w:sz="6" w:space="0" w:color="auto"/>
            </w:tcBorders>
          </w:tcPr>
          <w:p w14:paraId="6A802D4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5256DAC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Положення про </w:t>
            </w:r>
            <w:proofErr w:type="spellStart"/>
            <w:r w:rsidRPr="004229C1">
              <w:rPr>
                <w:rFonts w:ascii="Times New Roman" w:hAnsi="Times New Roman" w:cs="Times New Roman"/>
                <w:kern w:val="0"/>
                <w:sz w:val="22"/>
                <w:szCs w:val="22"/>
                <w:lang w:val="uk-UA"/>
              </w:rPr>
              <w:t>Комiтет</w:t>
            </w:r>
            <w:proofErr w:type="spellEnd"/>
            <w:r w:rsidRPr="004229C1">
              <w:rPr>
                <w:rFonts w:ascii="Times New Roman" w:hAnsi="Times New Roman" w:cs="Times New Roman"/>
                <w:kern w:val="0"/>
                <w:sz w:val="22"/>
                <w:szCs w:val="22"/>
                <w:lang w:val="uk-UA"/>
              </w:rPr>
              <w:t xml:space="preserve"> Наглядової Ради АТ "ПРАВЕКС БАНК" з питань аудиту, затверджено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Наглядової Ради </w:t>
            </w:r>
          </w:p>
          <w:p w14:paraId="6914158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27.03.2020, Протокол № 3_20, питання 23 порядку денного</w:t>
            </w:r>
          </w:p>
          <w:p w14:paraId="4289D07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Положення про </w:t>
            </w:r>
            <w:proofErr w:type="spellStart"/>
            <w:r w:rsidRPr="004229C1">
              <w:rPr>
                <w:rFonts w:ascii="Times New Roman" w:hAnsi="Times New Roman" w:cs="Times New Roman"/>
                <w:kern w:val="0"/>
                <w:sz w:val="22"/>
                <w:szCs w:val="22"/>
                <w:lang w:val="uk-UA"/>
              </w:rPr>
              <w:t>Комiтет</w:t>
            </w:r>
            <w:proofErr w:type="spellEnd"/>
            <w:r w:rsidRPr="004229C1">
              <w:rPr>
                <w:rFonts w:ascii="Times New Roman" w:hAnsi="Times New Roman" w:cs="Times New Roman"/>
                <w:kern w:val="0"/>
                <w:sz w:val="22"/>
                <w:szCs w:val="22"/>
                <w:lang w:val="uk-UA"/>
              </w:rPr>
              <w:t xml:space="preserve"> Наглядової Ради АТ "ПРАВЕКС БАНК" з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затверджено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27.03.2020, Протокол № 3_20, питання 21 порядку денного</w:t>
            </w:r>
          </w:p>
          <w:p w14:paraId="3C0EBCC5" w14:textId="6352A474" w:rsidR="007469BF" w:rsidRPr="004229C1" w:rsidRDefault="00557E7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Положення про Комітет з винагород і призначень АТ «ПРАВЕКС БАНК», затверджено рішення Наглядової Ради від 30.09.2024, Протокол №19_24, питання 8 порядку денного </w:t>
            </w:r>
          </w:p>
        </w:tc>
      </w:tr>
      <w:tr w:rsidR="007469BF" w:rsidRPr="004229C1" w14:paraId="4B5E125E" w14:textId="77777777">
        <w:trPr>
          <w:trHeight w:val="200"/>
        </w:trPr>
        <w:tc>
          <w:tcPr>
            <w:tcW w:w="4000" w:type="dxa"/>
            <w:tcBorders>
              <w:top w:val="single" w:sz="6" w:space="0" w:color="auto"/>
              <w:bottom w:val="single" w:sz="6" w:space="0" w:color="auto"/>
              <w:right w:val="single" w:sz="6" w:space="0" w:color="auto"/>
            </w:tcBorders>
          </w:tcPr>
          <w:p w14:paraId="0F7A0C2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14:paraId="5830B657"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5FD00BB5"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Комiтет</w:t>
            </w:r>
            <w:proofErr w:type="spellEnd"/>
            <w:r w:rsidRPr="004229C1">
              <w:rPr>
                <w:rFonts w:ascii="Times New Roman" w:hAnsi="Times New Roman" w:cs="Times New Roman"/>
                <w:kern w:val="0"/>
                <w:sz w:val="22"/>
                <w:szCs w:val="22"/>
                <w:lang w:val="uk-UA"/>
              </w:rPr>
              <w:t xml:space="preserve"> складається з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бiльшiсть</w:t>
            </w:r>
            <w:proofErr w:type="spellEnd"/>
            <w:r w:rsidRPr="004229C1">
              <w:rPr>
                <w:rFonts w:ascii="Times New Roman" w:hAnsi="Times New Roman" w:cs="Times New Roman"/>
                <w:kern w:val="0"/>
                <w:sz w:val="22"/>
                <w:szCs w:val="22"/>
                <w:lang w:val="uk-UA"/>
              </w:rPr>
              <w:t xml:space="preserve"> з яких є незалежними членами (директорами) (2 з 3), </w:t>
            </w:r>
            <w:proofErr w:type="spellStart"/>
            <w:r w:rsidRPr="004229C1">
              <w:rPr>
                <w:rFonts w:ascii="Times New Roman" w:hAnsi="Times New Roman" w:cs="Times New Roman"/>
                <w:kern w:val="0"/>
                <w:sz w:val="22"/>
                <w:szCs w:val="22"/>
                <w:lang w:val="uk-UA"/>
              </w:rPr>
              <w:t>якi</w:t>
            </w:r>
            <w:proofErr w:type="spellEnd"/>
            <w:r w:rsidRPr="004229C1">
              <w:rPr>
                <w:rFonts w:ascii="Times New Roman" w:hAnsi="Times New Roman" w:cs="Times New Roman"/>
                <w:kern w:val="0"/>
                <w:sz w:val="22"/>
                <w:szCs w:val="22"/>
                <w:lang w:val="uk-UA"/>
              </w:rPr>
              <w:t xml:space="preserve"> мають знання у </w:t>
            </w:r>
            <w:proofErr w:type="spellStart"/>
            <w:r w:rsidRPr="004229C1">
              <w:rPr>
                <w:rFonts w:ascii="Times New Roman" w:hAnsi="Times New Roman" w:cs="Times New Roman"/>
                <w:kern w:val="0"/>
                <w:sz w:val="22"/>
                <w:szCs w:val="22"/>
                <w:lang w:val="uk-UA"/>
              </w:rPr>
              <w:t>сферi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фiнансiв</w:t>
            </w:r>
            <w:proofErr w:type="spellEnd"/>
            <w:r w:rsidRPr="004229C1">
              <w:rPr>
                <w:rFonts w:ascii="Times New Roman" w:hAnsi="Times New Roman" w:cs="Times New Roman"/>
                <w:kern w:val="0"/>
                <w:sz w:val="22"/>
                <w:szCs w:val="22"/>
                <w:lang w:val="uk-UA"/>
              </w:rPr>
              <w:t xml:space="preserve">, галузевий </w:t>
            </w:r>
            <w:proofErr w:type="spellStart"/>
            <w:r w:rsidRPr="004229C1">
              <w:rPr>
                <w:rFonts w:ascii="Times New Roman" w:hAnsi="Times New Roman" w:cs="Times New Roman"/>
                <w:kern w:val="0"/>
                <w:sz w:val="22"/>
                <w:szCs w:val="22"/>
                <w:lang w:val="uk-UA"/>
              </w:rPr>
              <w:t>досвiд</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досвiд</w:t>
            </w:r>
            <w:proofErr w:type="spellEnd"/>
            <w:r w:rsidRPr="004229C1">
              <w:rPr>
                <w:rFonts w:ascii="Times New Roman" w:hAnsi="Times New Roman" w:cs="Times New Roman"/>
                <w:kern w:val="0"/>
                <w:sz w:val="22"/>
                <w:szCs w:val="22"/>
                <w:lang w:val="uk-UA"/>
              </w:rPr>
              <w:t xml:space="preserve"> з питань бухгалтерського </w:t>
            </w:r>
            <w:proofErr w:type="spellStart"/>
            <w:r w:rsidRPr="004229C1">
              <w:rPr>
                <w:rFonts w:ascii="Times New Roman" w:hAnsi="Times New Roman" w:cs="Times New Roman"/>
                <w:kern w:val="0"/>
                <w:sz w:val="22"/>
                <w:szCs w:val="22"/>
                <w:lang w:val="uk-UA"/>
              </w:rPr>
              <w:t>облiку</w:t>
            </w:r>
            <w:proofErr w:type="spellEnd"/>
            <w:r w:rsidRPr="004229C1">
              <w:rPr>
                <w:rFonts w:ascii="Times New Roman" w:hAnsi="Times New Roman" w:cs="Times New Roman"/>
                <w:kern w:val="0"/>
                <w:sz w:val="22"/>
                <w:szCs w:val="22"/>
                <w:lang w:val="uk-UA"/>
              </w:rPr>
              <w:t xml:space="preserve">, аудиту, контролю та </w:t>
            </w:r>
            <w:proofErr w:type="spellStart"/>
            <w:r w:rsidRPr="004229C1">
              <w:rPr>
                <w:rFonts w:ascii="Times New Roman" w:hAnsi="Times New Roman" w:cs="Times New Roman"/>
                <w:kern w:val="0"/>
                <w:sz w:val="22"/>
                <w:szCs w:val="22"/>
                <w:lang w:val="uk-UA"/>
              </w:rPr>
              <w:t>управлiнням</w:t>
            </w:r>
            <w:proofErr w:type="spellEnd"/>
            <w:r w:rsidRPr="004229C1">
              <w:rPr>
                <w:rFonts w:ascii="Times New Roman" w:hAnsi="Times New Roman" w:cs="Times New Roman"/>
                <w:kern w:val="0"/>
                <w:sz w:val="22"/>
                <w:szCs w:val="22"/>
                <w:lang w:val="uk-UA"/>
              </w:rPr>
              <w:t xml:space="preserve"> ризиками</w:t>
            </w:r>
          </w:p>
        </w:tc>
      </w:tr>
      <w:tr w:rsidR="007469BF" w:rsidRPr="004229C1" w14:paraId="7E35B198" w14:textId="77777777">
        <w:trPr>
          <w:trHeight w:val="200"/>
        </w:trPr>
        <w:tc>
          <w:tcPr>
            <w:tcW w:w="4000" w:type="dxa"/>
            <w:tcBorders>
              <w:top w:val="single" w:sz="6" w:space="0" w:color="auto"/>
              <w:bottom w:val="single" w:sz="6" w:space="0" w:color="auto"/>
              <w:right w:val="single" w:sz="6" w:space="0" w:color="auto"/>
            </w:tcBorders>
          </w:tcPr>
          <w:p w14:paraId="72F38466"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Члени комітету з питань аудиту не входять до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032B3E9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2D0D9C66" w14:textId="1834A283"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Один незалежний член Наглядової Ради є членом </w:t>
            </w:r>
            <w:proofErr w:type="spellStart"/>
            <w:r w:rsidRPr="004229C1">
              <w:rPr>
                <w:rFonts w:ascii="Times New Roman" w:hAnsi="Times New Roman" w:cs="Times New Roman"/>
                <w:kern w:val="0"/>
                <w:sz w:val="22"/>
                <w:szCs w:val="22"/>
                <w:lang w:val="uk-UA"/>
              </w:rPr>
              <w:t>Комiтету</w:t>
            </w:r>
            <w:proofErr w:type="spellEnd"/>
            <w:r w:rsidRPr="004229C1">
              <w:rPr>
                <w:rFonts w:ascii="Times New Roman" w:hAnsi="Times New Roman" w:cs="Times New Roman"/>
                <w:kern w:val="0"/>
                <w:sz w:val="22"/>
                <w:szCs w:val="22"/>
                <w:lang w:val="uk-UA"/>
              </w:rPr>
              <w:t xml:space="preserve"> з питань аудиту та </w:t>
            </w:r>
            <w:proofErr w:type="spellStart"/>
            <w:r w:rsidRPr="004229C1">
              <w:rPr>
                <w:rFonts w:ascii="Times New Roman" w:hAnsi="Times New Roman" w:cs="Times New Roman"/>
                <w:kern w:val="0"/>
                <w:sz w:val="22"/>
                <w:szCs w:val="22"/>
                <w:lang w:val="uk-UA"/>
              </w:rPr>
              <w:t>Комiтету</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w:t>
            </w:r>
            <w:proofErr w:type="spellStart"/>
            <w:r w:rsidRPr="004229C1">
              <w:rPr>
                <w:rFonts w:ascii="Times New Roman" w:hAnsi="Times New Roman" w:cs="Times New Roman"/>
                <w:kern w:val="0"/>
                <w:sz w:val="22"/>
                <w:szCs w:val="22"/>
                <w:lang w:val="uk-UA"/>
              </w:rPr>
              <w:t>Коррадо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w:t>
            </w:r>
            <w:r w:rsidR="00557E7F"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єтро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Марiя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Казалiно</w:t>
            </w:r>
            <w:proofErr w:type="spellEnd"/>
            <w:r w:rsidRPr="004229C1">
              <w:rPr>
                <w:rFonts w:ascii="Times New Roman" w:hAnsi="Times New Roman" w:cs="Times New Roman"/>
                <w:kern w:val="0"/>
                <w:sz w:val="22"/>
                <w:szCs w:val="22"/>
                <w:lang w:val="uk-UA"/>
              </w:rPr>
              <w:t>)</w:t>
            </w:r>
          </w:p>
        </w:tc>
      </w:tr>
      <w:tr w:rsidR="007469BF" w:rsidRPr="004229C1" w14:paraId="490B4B47" w14:textId="77777777">
        <w:trPr>
          <w:trHeight w:val="200"/>
        </w:trPr>
        <w:tc>
          <w:tcPr>
            <w:tcW w:w="4000" w:type="dxa"/>
            <w:tcBorders>
              <w:top w:val="single" w:sz="6" w:space="0" w:color="auto"/>
              <w:bottom w:val="single" w:sz="6" w:space="0" w:color="auto"/>
              <w:right w:val="single" w:sz="6" w:space="0" w:color="auto"/>
            </w:tcBorders>
          </w:tcPr>
          <w:p w14:paraId="6CEB226E"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1394CCE0" w14:textId="1087934F" w:rsidR="007469BF" w:rsidRPr="004229C1" w:rsidRDefault="00557E7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4E846B0A" w14:textId="7D8A784F" w:rsidR="007469BF" w:rsidRPr="004229C1" w:rsidRDefault="00557E7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 складу Комітету з винагород і призначень входить незалежний директор, який є головуючим комітету, та має знання в галузі управління людськими ресурсами і навичками пошуку професіоналів до складу наглядової ради і виконавчого органу</w:t>
            </w:r>
          </w:p>
        </w:tc>
      </w:tr>
      <w:tr w:rsidR="00557E7F" w:rsidRPr="004229C1" w14:paraId="69894219" w14:textId="77777777">
        <w:trPr>
          <w:trHeight w:val="200"/>
        </w:trPr>
        <w:tc>
          <w:tcPr>
            <w:tcW w:w="4000" w:type="dxa"/>
            <w:tcBorders>
              <w:top w:val="single" w:sz="6" w:space="0" w:color="auto"/>
              <w:bottom w:val="single" w:sz="6" w:space="0" w:color="auto"/>
              <w:right w:val="single" w:sz="6" w:space="0" w:color="auto"/>
            </w:tcBorders>
          </w:tcPr>
          <w:p w14:paraId="5153CB2B" w14:textId="77777777" w:rsidR="00557E7F" w:rsidRPr="004229C1" w:rsidRDefault="00557E7F" w:rsidP="00557E7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16A60B70" w14:textId="147D66B8" w:rsidR="00557E7F" w:rsidRPr="004229C1" w:rsidRDefault="00557E7F" w:rsidP="00557E7F">
            <w:pPr>
              <w:widowControl w:val="0"/>
              <w:tabs>
                <w:tab w:val="left" w:pos="520"/>
                <w:tab w:val="center" w:pos="642"/>
              </w:tabs>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ab/>
              <w:t>так</w:t>
            </w:r>
          </w:p>
        </w:tc>
        <w:tc>
          <w:tcPr>
            <w:tcW w:w="4500" w:type="dxa"/>
            <w:tcBorders>
              <w:top w:val="single" w:sz="6" w:space="0" w:color="auto"/>
              <w:left w:val="single" w:sz="6" w:space="0" w:color="auto"/>
              <w:bottom w:val="single" w:sz="6" w:space="0" w:color="auto"/>
            </w:tcBorders>
          </w:tcPr>
          <w:p w14:paraId="7B1180DB" w14:textId="34D83F16" w:rsidR="00557E7F" w:rsidRPr="004229C1" w:rsidRDefault="00557E7F" w:rsidP="00557E7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 складу Комітету з винагород і призначень входить незалежний директор, який є головуючим комітету, та має знання в галузі управління людськими ресурсами і навичками пошуку професіоналів до складу наглядової ради і виконавчого органу</w:t>
            </w:r>
          </w:p>
        </w:tc>
      </w:tr>
      <w:tr w:rsidR="007469BF" w:rsidRPr="004229C1" w14:paraId="087E5030" w14:textId="77777777">
        <w:trPr>
          <w:trHeight w:val="200"/>
        </w:trPr>
        <w:tc>
          <w:tcPr>
            <w:tcW w:w="4000" w:type="dxa"/>
            <w:tcBorders>
              <w:top w:val="single" w:sz="6" w:space="0" w:color="auto"/>
              <w:bottom w:val="single" w:sz="6" w:space="0" w:color="auto"/>
              <w:right w:val="single" w:sz="6" w:space="0" w:color="auto"/>
            </w:tcBorders>
          </w:tcPr>
          <w:p w14:paraId="51B9B2B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14:paraId="5C090292" w14:textId="01A7CD92" w:rsidR="007469BF" w:rsidRPr="004229C1" w:rsidRDefault="00557E7F" w:rsidP="00557E7F">
            <w:pPr>
              <w:widowControl w:val="0"/>
              <w:tabs>
                <w:tab w:val="left" w:pos="500"/>
                <w:tab w:val="center" w:pos="642"/>
              </w:tabs>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ab/>
              <w:t>так</w:t>
            </w:r>
          </w:p>
        </w:tc>
        <w:tc>
          <w:tcPr>
            <w:tcW w:w="4500" w:type="dxa"/>
            <w:tcBorders>
              <w:top w:val="single" w:sz="6" w:space="0" w:color="auto"/>
              <w:left w:val="single" w:sz="6" w:space="0" w:color="auto"/>
              <w:bottom w:val="single" w:sz="6" w:space="0" w:color="auto"/>
            </w:tcBorders>
          </w:tcPr>
          <w:p w14:paraId="60B485CF" w14:textId="535D4DC0" w:rsidR="007469BF" w:rsidRPr="004229C1" w:rsidRDefault="00557E7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Комiтет</w:t>
            </w:r>
            <w:proofErr w:type="spellEnd"/>
            <w:r w:rsidRPr="004229C1">
              <w:rPr>
                <w:rFonts w:ascii="Times New Roman" w:hAnsi="Times New Roman" w:cs="Times New Roman"/>
                <w:kern w:val="0"/>
                <w:sz w:val="22"/>
                <w:szCs w:val="22"/>
                <w:lang w:val="uk-UA"/>
              </w:rPr>
              <w:t xml:space="preserve"> складається з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бiльшiсть</w:t>
            </w:r>
            <w:proofErr w:type="spellEnd"/>
            <w:r w:rsidRPr="004229C1">
              <w:rPr>
                <w:rFonts w:ascii="Times New Roman" w:hAnsi="Times New Roman" w:cs="Times New Roman"/>
                <w:kern w:val="0"/>
                <w:sz w:val="22"/>
                <w:szCs w:val="22"/>
                <w:lang w:val="uk-UA"/>
              </w:rPr>
              <w:t xml:space="preserve"> з яких є незалежними членами (директорами) (2 з 3</w:t>
            </w:r>
          </w:p>
        </w:tc>
      </w:tr>
      <w:tr w:rsidR="007469BF" w:rsidRPr="004229C1" w14:paraId="7FD519D1" w14:textId="77777777">
        <w:trPr>
          <w:trHeight w:val="200"/>
        </w:trPr>
        <w:tc>
          <w:tcPr>
            <w:tcW w:w="10000" w:type="dxa"/>
            <w:gridSpan w:val="3"/>
            <w:tcBorders>
              <w:top w:val="single" w:sz="6" w:space="0" w:color="auto"/>
              <w:bottom w:val="single" w:sz="6" w:space="0" w:color="auto"/>
            </w:tcBorders>
          </w:tcPr>
          <w:p w14:paraId="70D6E9D2"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4. Виконавчий орган</w:t>
            </w:r>
          </w:p>
        </w:tc>
      </w:tr>
      <w:tr w:rsidR="007469BF" w:rsidRPr="004229C1" w14:paraId="2B04E5C8" w14:textId="77777777">
        <w:trPr>
          <w:trHeight w:val="200"/>
        </w:trPr>
        <w:tc>
          <w:tcPr>
            <w:tcW w:w="4000" w:type="dxa"/>
            <w:tcBorders>
              <w:top w:val="single" w:sz="6" w:space="0" w:color="auto"/>
              <w:bottom w:val="single" w:sz="6" w:space="0" w:color="auto"/>
              <w:right w:val="single" w:sz="6" w:space="0" w:color="auto"/>
            </w:tcBorders>
          </w:tcPr>
          <w:p w14:paraId="2D4C62EF"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667C35FA"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462F98C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за забезпечення </w:t>
            </w:r>
            <w:proofErr w:type="spellStart"/>
            <w:r w:rsidRPr="004229C1">
              <w:rPr>
                <w:rFonts w:ascii="Times New Roman" w:hAnsi="Times New Roman" w:cs="Times New Roman"/>
                <w:kern w:val="0"/>
                <w:sz w:val="22"/>
                <w:szCs w:val="22"/>
                <w:lang w:val="uk-UA"/>
              </w:rPr>
              <w:t>пiдготовки</w:t>
            </w:r>
            <w:proofErr w:type="spellEnd"/>
            <w:r w:rsidRPr="004229C1">
              <w:rPr>
                <w:rFonts w:ascii="Times New Roman" w:hAnsi="Times New Roman" w:cs="Times New Roman"/>
                <w:kern w:val="0"/>
                <w:sz w:val="22"/>
                <w:szCs w:val="22"/>
                <w:lang w:val="uk-UA"/>
              </w:rPr>
              <w:t xml:space="preserve"> для затвердження Наглядовою радою </w:t>
            </w:r>
            <w:proofErr w:type="spellStart"/>
            <w:r w:rsidRPr="004229C1">
              <w:rPr>
                <w:rFonts w:ascii="Times New Roman" w:hAnsi="Times New Roman" w:cs="Times New Roman"/>
                <w:kern w:val="0"/>
                <w:sz w:val="22"/>
                <w:szCs w:val="22"/>
                <w:lang w:val="uk-UA"/>
              </w:rPr>
              <w:t>стратегiї</w:t>
            </w:r>
            <w:proofErr w:type="spellEnd"/>
            <w:r w:rsidRPr="004229C1">
              <w:rPr>
                <w:rFonts w:ascii="Times New Roman" w:hAnsi="Times New Roman" w:cs="Times New Roman"/>
                <w:kern w:val="0"/>
                <w:sz w:val="22"/>
                <w:szCs w:val="22"/>
                <w:lang w:val="uk-UA"/>
              </w:rPr>
              <w:t xml:space="preserve"> Банку. До виключної </w:t>
            </w:r>
            <w:proofErr w:type="spellStart"/>
            <w:r w:rsidRPr="004229C1">
              <w:rPr>
                <w:rFonts w:ascii="Times New Roman" w:hAnsi="Times New Roman" w:cs="Times New Roman"/>
                <w:kern w:val="0"/>
                <w:sz w:val="22"/>
                <w:szCs w:val="22"/>
                <w:lang w:val="uk-UA"/>
              </w:rPr>
              <w:t>компетенцiї</w:t>
            </w:r>
            <w:proofErr w:type="spellEnd"/>
            <w:r w:rsidRPr="004229C1">
              <w:rPr>
                <w:rFonts w:ascii="Times New Roman" w:hAnsi="Times New Roman" w:cs="Times New Roman"/>
                <w:kern w:val="0"/>
                <w:sz w:val="22"/>
                <w:szCs w:val="22"/>
                <w:lang w:val="uk-UA"/>
              </w:rPr>
              <w:t xml:space="preserve"> Наглядової ради Банку </w:t>
            </w:r>
            <w:proofErr w:type="spellStart"/>
            <w:r w:rsidRPr="004229C1">
              <w:rPr>
                <w:rFonts w:ascii="Times New Roman" w:hAnsi="Times New Roman" w:cs="Times New Roman"/>
                <w:kern w:val="0"/>
                <w:sz w:val="22"/>
                <w:szCs w:val="22"/>
                <w:lang w:val="uk-UA"/>
              </w:rPr>
              <w:t>вiдноситься</w:t>
            </w:r>
            <w:proofErr w:type="spellEnd"/>
            <w:r w:rsidRPr="004229C1">
              <w:rPr>
                <w:rFonts w:ascii="Times New Roman" w:hAnsi="Times New Roman" w:cs="Times New Roman"/>
                <w:kern w:val="0"/>
                <w:sz w:val="22"/>
                <w:szCs w:val="22"/>
                <w:lang w:val="uk-UA"/>
              </w:rPr>
              <w:t xml:space="preserve"> затвердження та контроль за </w:t>
            </w:r>
            <w:proofErr w:type="spellStart"/>
            <w:r w:rsidRPr="004229C1">
              <w:rPr>
                <w:rFonts w:ascii="Times New Roman" w:hAnsi="Times New Roman" w:cs="Times New Roman"/>
                <w:kern w:val="0"/>
                <w:sz w:val="22"/>
                <w:szCs w:val="22"/>
                <w:lang w:val="uk-UA"/>
              </w:rPr>
              <w:t>реалiзацiєю</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стратегiї</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 визначає та забезпечує порядок </w:t>
            </w:r>
            <w:proofErr w:type="spellStart"/>
            <w:r w:rsidRPr="004229C1">
              <w:rPr>
                <w:rFonts w:ascii="Times New Roman" w:hAnsi="Times New Roman" w:cs="Times New Roman"/>
                <w:kern w:val="0"/>
                <w:sz w:val="22"/>
                <w:szCs w:val="22"/>
                <w:lang w:val="uk-UA"/>
              </w:rPr>
              <w:t>реалiзацiї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цiлей</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стратегiї</w:t>
            </w:r>
            <w:proofErr w:type="spellEnd"/>
            <w:r w:rsidRPr="004229C1">
              <w:rPr>
                <w:rFonts w:ascii="Times New Roman" w:hAnsi="Times New Roman" w:cs="Times New Roman"/>
                <w:kern w:val="0"/>
                <w:sz w:val="22"/>
                <w:szCs w:val="22"/>
                <w:lang w:val="uk-UA"/>
              </w:rPr>
              <w:t xml:space="preserve"> Банку.</w:t>
            </w:r>
          </w:p>
        </w:tc>
      </w:tr>
      <w:tr w:rsidR="007469BF" w:rsidRPr="004229C1" w14:paraId="0E319E73" w14:textId="77777777">
        <w:trPr>
          <w:trHeight w:val="200"/>
        </w:trPr>
        <w:tc>
          <w:tcPr>
            <w:tcW w:w="4000" w:type="dxa"/>
            <w:tcBorders>
              <w:top w:val="single" w:sz="6" w:space="0" w:color="auto"/>
              <w:bottom w:val="single" w:sz="6" w:space="0" w:color="auto"/>
              <w:right w:val="single" w:sz="6" w:space="0" w:color="auto"/>
            </w:tcBorders>
          </w:tcPr>
          <w:p w14:paraId="75EFFB2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auto"/>
              <w:left w:val="single" w:sz="6" w:space="0" w:color="auto"/>
              <w:bottom w:val="single" w:sz="6" w:space="0" w:color="auto"/>
              <w:right w:val="single" w:sz="6" w:space="0" w:color="auto"/>
            </w:tcBorders>
          </w:tcPr>
          <w:p w14:paraId="1283DF2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81524CC"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Полiтикою</w:t>
            </w:r>
            <w:proofErr w:type="spellEnd"/>
            <w:r w:rsidRPr="004229C1">
              <w:rPr>
                <w:rFonts w:ascii="Times New Roman" w:hAnsi="Times New Roman" w:cs="Times New Roman"/>
                <w:kern w:val="0"/>
                <w:sz w:val="22"/>
                <w:szCs w:val="22"/>
                <w:lang w:val="uk-UA"/>
              </w:rPr>
              <w:t xml:space="preserve"> винагороди передбачено визначення КПЕ для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Банку</w:t>
            </w:r>
          </w:p>
        </w:tc>
      </w:tr>
      <w:tr w:rsidR="007469BF" w:rsidRPr="004229C1" w14:paraId="6ACEF043" w14:textId="77777777">
        <w:trPr>
          <w:trHeight w:val="200"/>
        </w:trPr>
        <w:tc>
          <w:tcPr>
            <w:tcW w:w="4000" w:type="dxa"/>
            <w:tcBorders>
              <w:top w:val="single" w:sz="6" w:space="0" w:color="auto"/>
              <w:bottom w:val="single" w:sz="6" w:space="0" w:color="auto"/>
              <w:right w:val="single" w:sz="6" w:space="0" w:color="auto"/>
            </w:tcBorders>
          </w:tcPr>
          <w:p w14:paraId="20984A5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14:paraId="0D67C32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0B715DF"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У </w:t>
            </w:r>
            <w:proofErr w:type="spellStart"/>
            <w:r w:rsidRPr="004229C1">
              <w:rPr>
                <w:rFonts w:ascii="Times New Roman" w:hAnsi="Times New Roman" w:cs="Times New Roman"/>
                <w:kern w:val="0"/>
                <w:sz w:val="22"/>
                <w:szCs w:val="22"/>
                <w:lang w:val="uk-UA"/>
              </w:rPr>
              <w:t>щоквартальнiй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окреслює стан впровадження </w:t>
            </w:r>
            <w:proofErr w:type="spellStart"/>
            <w:r w:rsidRPr="004229C1">
              <w:rPr>
                <w:rFonts w:ascii="Times New Roman" w:hAnsi="Times New Roman" w:cs="Times New Roman"/>
                <w:kern w:val="0"/>
                <w:sz w:val="22"/>
                <w:szCs w:val="22"/>
                <w:lang w:val="uk-UA"/>
              </w:rPr>
              <w:t>стратегiї</w:t>
            </w:r>
            <w:proofErr w:type="spellEnd"/>
            <w:r w:rsidRPr="004229C1">
              <w:rPr>
                <w:rFonts w:ascii="Times New Roman" w:hAnsi="Times New Roman" w:cs="Times New Roman"/>
                <w:kern w:val="0"/>
                <w:sz w:val="22"/>
                <w:szCs w:val="22"/>
                <w:lang w:val="uk-UA"/>
              </w:rPr>
              <w:t xml:space="preserve"> розвитку Банку та/або </w:t>
            </w:r>
            <w:proofErr w:type="spellStart"/>
            <w:r w:rsidRPr="004229C1">
              <w:rPr>
                <w:rFonts w:ascii="Times New Roman" w:hAnsi="Times New Roman" w:cs="Times New Roman"/>
                <w:kern w:val="0"/>
                <w:sz w:val="22"/>
                <w:szCs w:val="22"/>
                <w:lang w:val="uk-UA"/>
              </w:rPr>
              <w:t>щомiсячно</w:t>
            </w:r>
            <w:proofErr w:type="spellEnd"/>
            <w:r w:rsidRPr="004229C1">
              <w:rPr>
                <w:rFonts w:ascii="Times New Roman" w:hAnsi="Times New Roman" w:cs="Times New Roman"/>
                <w:kern w:val="0"/>
                <w:sz w:val="22"/>
                <w:szCs w:val="22"/>
                <w:lang w:val="uk-UA"/>
              </w:rPr>
              <w:t xml:space="preserve"> в межах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про </w:t>
            </w:r>
            <w:proofErr w:type="spellStart"/>
            <w:r w:rsidRPr="004229C1">
              <w:rPr>
                <w:rFonts w:ascii="Times New Roman" w:hAnsi="Times New Roman" w:cs="Times New Roman"/>
                <w:kern w:val="0"/>
                <w:sz w:val="22"/>
                <w:szCs w:val="22"/>
                <w:lang w:val="uk-UA"/>
              </w:rPr>
              <w:t>фiнансовi</w:t>
            </w:r>
            <w:proofErr w:type="spellEnd"/>
            <w:r w:rsidRPr="004229C1">
              <w:rPr>
                <w:rFonts w:ascii="Times New Roman" w:hAnsi="Times New Roman" w:cs="Times New Roman"/>
                <w:kern w:val="0"/>
                <w:sz w:val="22"/>
                <w:szCs w:val="22"/>
                <w:lang w:val="uk-UA"/>
              </w:rPr>
              <w:t xml:space="preserve"> результати Банку</w:t>
            </w:r>
          </w:p>
        </w:tc>
      </w:tr>
      <w:tr w:rsidR="007469BF" w:rsidRPr="004229C1" w14:paraId="319405DB" w14:textId="77777777">
        <w:trPr>
          <w:trHeight w:val="200"/>
        </w:trPr>
        <w:tc>
          <w:tcPr>
            <w:tcW w:w="4000" w:type="dxa"/>
            <w:tcBorders>
              <w:top w:val="single" w:sz="6" w:space="0" w:color="auto"/>
              <w:bottom w:val="single" w:sz="6" w:space="0" w:color="auto"/>
              <w:right w:val="single" w:sz="6" w:space="0" w:color="auto"/>
            </w:tcBorders>
          </w:tcPr>
          <w:p w14:paraId="1FE43BE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Виконавчий орган інформує голову Наглядової ради про будь-які значні 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11DA75E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04EA74EB"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Кожне </w:t>
            </w:r>
            <w:proofErr w:type="spellStart"/>
            <w:r w:rsidRPr="004229C1">
              <w:rPr>
                <w:rFonts w:ascii="Times New Roman" w:hAnsi="Times New Roman" w:cs="Times New Roman"/>
                <w:kern w:val="0"/>
                <w:sz w:val="22"/>
                <w:szCs w:val="22"/>
                <w:lang w:val="uk-UA"/>
              </w:rPr>
              <w:t>засiдання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окрiм</w:t>
            </w:r>
            <w:proofErr w:type="spellEnd"/>
            <w:r w:rsidRPr="004229C1">
              <w:rPr>
                <w:rFonts w:ascii="Times New Roman" w:hAnsi="Times New Roman" w:cs="Times New Roman"/>
                <w:kern w:val="0"/>
                <w:sz w:val="22"/>
                <w:szCs w:val="22"/>
                <w:lang w:val="uk-UA"/>
              </w:rPr>
              <w:t xml:space="preserve"> регулярної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Наглядова Рада заслуховує звернення Голови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до Наглядової Ради, де зазначаються </w:t>
            </w:r>
            <w:proofErr w:type="spellStart"/>
            <w:r w:rsidRPr="004229C1">
              <w:rPr>
                <w:rFonts w:ascii="Times New Roman" w:hAnsi="Times New Roman" w:cs="Times New Roman"/>
                <w:kern w:val="0"/>
                <w:sz w:val="22"/>
                <w:szCs w:val="22"/>
                <w:lang w:val="uk-UA"/>
              </w:rPr>
              <w:t>основнi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подiї</w:t>
            </w:r>
            <w:proofErr w:type="spellEnd"/>
            <w:r w:rsidRPr="004229C1">
              <w:rPr>
                <w:rFonts w:ascii="Times New Roman" w:hAnsi="Times New Roman" w:cs="Times New Roman"/>
                <w:kern w:val="0"/>
                <w:sz w:val="22"/>
                <w:szCs w:val="22"/>
                <w:lang w:val="uk-UA"/>
              </w:rPr>
              <w:t xml:space="preserve"> Банку.</w:t>
            </w:r>
          </w:p>
        </w:tc>
      </w:tr>
      <w:tr w:rsidR="007469BF" w:rsidRPr="004229C1" w14:paraId="31EFC760" w14:textId="77777777">
        <w:trPr>
          <w:trHeight w:val="200"/>
        </w:trPr>
        <w:tc>
          <w:tcPr>
            <w:tcW w:w="10000" w:type="dxa"/>
            <w:gridSpan w:val="3"/>
            <w:tcBorders>
              <w:top w:val="single" w:sz="6" w:space="0" w:color="auto"/>
              <w:bottom w:val="single" w:sz="6" w:space="0" w:color="auto"/>
            </w:tcBorders>
          </w:tcPr>
          <w:p w14:paraId="16B17C0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6. Винагорода</w:t>
            </w:r>
          </w:p>
        </w:tc>
      </w:tr>
      <w:tr w:rsidR="007469BF" w:rsidRPr="004229C1" w14:paraId="405BB8E7" w14:textId="77777777">
        <w:trPr>
          <w:trHeight w:val="200"/>
        </w:trPr>
        <w:tc>
          <w:tcPr>
            <w:tcW w:w="4000" w:type="dxa"/>
            <w:tcBorders>
              <w:top w:val="single" w:sz="6" w:space="0" w:color="auto"/>
              <w:bottom w:val="single" w:sz="6" w:space="0" w:color="auto"/>
              <w:right w:val="single" w:sz="6" w:space="0" w:color="auto"/>
            </w:tcBorders>
          </w:tcPr>
          <w:p w14:paraId="56C0758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00" w:type="dxa"/>
            <w:tcBorders>
              <w:top w:val="single" w:sz="6" w:space="0" w:color="auto"/>
              <w:left w:val="single" w:sz="6" w:space="0" w:color="auto"/>
              <w:bottom w:val="single" w:sz="6" w:space="0" w:color="auto"/>
              <w:right w:val="single" w:sz="6" w:space="0" w:color="auto"/>
            </w:tcBorders>
          </w:tcPr>
          <w:p w14:paraId="3068C89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EE3B32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Одним </w:t>
            </w:r>
            <w:proofErr w:type="spellStart"/>
            <w:r w:rsidRPr="004229C1">
              <w:rPr>
                <w:rFonts w:ascii="Times New Roman" w:hAnsi="Times New Roman" w:cs="Times New Roman"/>
                <w:kern w:val="0"/>
                <w:sz w:val="22"/>
                <w:szCs w:val="22"/>
                <w:lang w:val="uk-UA"/>
              </w:rPr>
              <w:t>iз</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принципiв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критерiїв</w:t>
            </w:r>
            <w:proofErr w:type="spellEnd"/>
            <w:r w:rsidRPr="004229C1">
              <w:rPr>
                <w:rFonts w:ascii="Times New Roman" w:hAnsi="Times New Roman" w:cs="Times New Roman"/>
                <w:kern w:val="0"/>
                <w:sz w:val="22"/>
                <w:szCs w:val="22"/>
                <w:lang w:val="uk-UA"/>
              </w:rPr>
              <w:t xml:space="preserve"> визначення </w:t>
            </w:r>
            <w:proofErr w:type="spellStart"/>
            <w:r w:rsidRPr="004229C1">
              <w:rPr>
                <w:rFonts w:ascii="Times New Roman" w:hAnsi="Times New Roman" w:cs="Times New Roman"/>
                <w:kern w:val="0"/>
                <w:sz w:val="22"/>
                <w:szCs w:val="22"/>
                <w:lang w:val="uk-UA"/>
              </w:rPr>
              <w:t>розмiру</w:t>
            </w:r>
            <w:proofErr w:type="spellEnd"/>
            <w:r w:rsidRPr="004229C1">
              <w:rPr>
                <w:rFonts w:ascii="Times New Roman" w:hAnsi="Times New Roman" w:cs="Times New Roman"/>
                <w:kern w:val="0"/>
                <w:sz w:val="22"/>
                <w:szCs w:val="22"/>
                <w:lang w:val="uk-UA"/>
              </w:rPr>
              <w:t xml:space="preserve"> винагороди членам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є </w:t>
            </w:r>
            <w:proofErr w:type="spellStart"/>
            <w:r w:rsidRPr="004229C1">
              <w:rPr>
                <w:rFonts w:ascii="Times New Roman" w:hAnsi="Times New Roman" w:cs="Times New Roman"/>
                <w:kern w:val="0"/>
                <w:sz w:val="22"/>
                <w:szCs w:val="22"/>
                <w:lang w:val="uk-UA"/>
              </w:rPr>
              <w:t>вiдповiднiсть</w:t>
            </w:r>
            <w:proofErr w:type="spellEnd"/>
            <w:r w:rsidRPr="004229C1">
              <w:rPr>
                <w:rFonts w:ascii="Times New Roman" w:hAnsi="Times New Roman" w:cs="Times New Roman"/>
                <w:kern w:val="0"/>
                <w:sz w:val="22"/>
                <w:szCs w:val="22"/>
                <w:lang w:val="uk-UA"/>
              </w:rPr>
              <w:t xml:space="preserve"> ринковим показникам винагороди, тобто розумна </w:t>
            </w:r>
            <w:proofErr w:type="spellStart"/>
            <w:r w:rsidRPr="004229C1">
              <w:rPr>
                <w:rFonts w:ascii="Times New Roman" w:hAnsi="Times New Roman" w:cs="Times New Roman"/>
                <w:kern w:val="0"/>
                <w:sz w:val="22"/>
                <w:szCs w:val="22"/>
                <w:lang w:val="uk-UA"/>
              </w:rPr>
              <w:t>обгрунтованiсть</w:t>
            </w:r>
            <w:proofErr w:type="spellEnd"/>
            <w:r w:rsidRPr="004229C1">
              <w:rPr>
                <w:rFonts w:ascii="Times New Roman" w:hAnsi="Times New Roman" w:cs="Times New Roman"/>
                <w:kern w:val="0"/>
                <w:sz w:val="22"/>
                <w:szCs w:val="22"/>
                <w:lang w:val="uk-UA"/>
              </w:rPr>
              <w:t xml:space="preserve"> стосовно </w:t>
            </w:r>
            <w:proofErr w:type="spellStart"/>
            <w:r w:rsidRPr="004229C1">
              <w:rPr>
                <w:rFonts w:ascii="Times New Roman" w:hAnsi="Times New Roman" w:cs="Times New Roman"/>
                <w:kern w:val="0"/>
                <w:sz w:val="22"/>
                <w:szCs w:val="22"/>
                <w:lang w:val="uk-UA"/>
              </w:rPr>
              <w:t>аналогiчних</w:t>
            </w:r>
            <w:proofErr w:type="spellEnd"/>
            <w:r w:rsidRPr="004229C1">
              <w:rPr>
                <w:rFonts w:ascii="Times New Roman" w:hAnsi="Times New Roman" w:cs="Times New Roman"/>
                <w:kern w:val="0"/>
                <w:sz w:val="22"/>
                <w:szCs w:val="22"/>
                <w:lang w:val="uk-UA"/>
              </w:rPr>
              <w:t xml:space="preserve"> (або </w:t>
            </w:r>
            <w:proofErr w:type="spellStart"/>
            <w:r w:rsidRPr="004229C1">
              <w:rPr>
                <w:rFonts w:ascii="Times New Roman" w:hAnsi="Times New Roman" w:cs="Times New Roman"/>
                <w:kern w:val="0"/>
                <w:sz w:val="22"/>
                <w:szCs w:val="22"/>
                <w:lang w:val="uk-UA"/>
              </w:rPr>
              <w:t>спiвмiрних</w:t>
            </w:r>
            <w:proofErr w:type="spellEnd"/>
            <w:r w:rsidRPr="004229C1">
              <w:rPr>
                <w:rFonts w:ascii="Times New Roman" w:hAnsi="Times New Roman" w:cs="Times New Roman"/>
                <w:kern w:val="0"/>
                <w:sz w:val="22"/>
                <w:szCs w:val="22"/>
                <w:lang w:val="uk-UA"/>
              </w:rPr>
              <w:t xml:space="preserve">) ринкових </w:t>
            </w:r>
            <w:proofErr w:type="spellStart"/>
            <w:r w:rsidRPr="004229C1">
              <w:rPr>
                <w:rFonts w:ascii="Times New Roman" w:hAnsi="Times New Roman" w:cs="Times New Roman"/>
                <w:kern w:val="0"/>
                <w:sz w:val="22"/>
                <w:szCs w:val="22"/>
                <w:lang w:val="uk-UA"/>
              </w:rPr>
              <w:t>показникiв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розмiрiв</w:t>
            </w:r>
            <w:proofErr w:type="spellEnd"/>
            <w:r w:rsidRPr="004229C1">
              <w:rPr>
                <w:rFonts w:ascii="Times New Roman" w:hAnsi="Times New Roman" w:cs="Times New Roman"/>
                <w:kern w:val="0"/>
                <w:sz w:val="22"/>
                <w:szCs w:val="22"/>
                <w:lang w:val="uk-UA"/>
              </w:rPr>
              <w:t xml:space="preserve"> i умов виплати винагороди.</w:t>
            </w:r>
          </w:p>
        </w:tc>
      </w:tr>
      <w:tr w:rsidR="007469BF" w:rsidRPr="004229C1" w14:paraId="4C3BA41A" w14:textId="77777777">
        <w:trPr>
          <w:trHeight w:val="200"/>
        </w:trPr>
        <w:tc>
          <w:tcPr>
            <w:tcW w:w="4000" w:type="dxa"/>
            <w:tcBorders>
              <w:top w:val="single" w:sz="6" w:space="0" w:color="auto"/>
              <w:bottom w:val="single" w:sz="6" w:space="0" w:color="auto"/>
              <w:right w:val="single" w:sz="6" w:space="0" w:color="auto"/>
            </w:tcBorders>
          </w:tcPr>
          <w:p w14:paraId="19D14D7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Розмір винагороди для виконавчого органу пов'язаний з результатами діяльності особи</w:t>
            </w:r>
          </w:p>
        </w:tc>
        <w:tc>
          <w:tcPr>
            <w:tcW w:w="1500" w:type="dxa"/>
            <w:tcBorders>
              <w:top w:val="single" w:sz="6" w:space="0" w:color="auto"/>
              <w:left w:val="single" w:sz="6" w:space="0" w:color="auto"/>
              <w:bottom w:val="single" w:sz="6" w:space="0" w:color="auto"/>
              <w:right w:val="single" w:sz="6" w:space="0" w:color="auto"/>
            </w:tcBorders>
          </w:tcPr>
          <w:p w14:paraId="0D947B2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4459396"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Винагорода є справедливою </w:t>
            </w:r>
            <w:proofErr w:type="spellStart"/>
            <w:r w:rsidRPr="004229C1">
              <w:rPr>
                <w:rFonts w:ascii="Times New Roman" w:hAnsi="Times New Roman" w:cs="Times New Roman"/>
                <w:kern w:val="0"/>
                <w:sz w:val="22"/>
                <w:szCs w:val="22"/>
                <w:lang w:val="uk-UA"/>
              </w:rPr>
              <w:t>компенсацiєю</w:t>
            </w:r>
            <w:proofErr w:type="spellEnd"/>
            <w:r w:rsidRPr="004229C1">
              <w:rPr>
                <w:rFonts w:ascii="Times New Roman" w:hAnsi="Times New Roman" w:cs="Times New Roman"/>
                <w:kern w:val="0"/>
                <w:sz w:val="22"/>
                <w:szCs w:val="22"/>
                <w:lang w:val="uk-UA"/>
              </w:rPr>
              <w:t xml:space="preserve"> за виконання членом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покладених на нього посадових </w:t>
            </w:r>
            <w:proofErr w:type="spellStart"/>
            <w:r w:rsidRPr="004229C1">
              <w:rPr>
                <w:rFonts w:ascii="Times New Roman" w:hAnsi="Times New Roman" w:cs="Times New Roman"/>
                <w:kern w:val="0"/>
                <w:sz w:val="22"/>
                <w:szCs w:val="22"/>
                <w:lang w:val="uk-UA"/>
              </w:rPr>
              <w:t>обов'язкiв</w:t>
            </w:r>
            <w:proofErr w:type="spellEnd"/>
            <w:r w:rsidRPr="004229C1">
              <w:rPr>
                <w:rFonts w:ascii="Times New Roman" w:hAnsi="Times New Roman" w:cs="Times New Roman"/>
                <w:kern w:val="0"/>
                <w:sz w:val="22"/>
                <w:szCs w:val="22"/>
                <w:lang w:val="uk-UA"/>
              </w:rPr>
              <w:t xml:space="preserve">; винагорода розумно </w:t>
            </w:r>
            <w:proofErr w:type="spellStart"/>
            <w:r w:rsidRPr="004229C1">
              <w:rPr>
                <w:rFonts w:ascii="Times New Roman" w:hAnsi="Times New Roman" w:cs="Times New Roman"/>
                <w:kern w:val="0"/>
                <w:sz w:val="22"/>
                <w:szCs w:val="22"/>
                <w:lang w:val="uk-UA"/>
              </w:rPr>
              <w:t>обгрунтована</w:t>
            </w:r>
            <w:proofErr w:type="spellEnd"/>
            <w:r w:rsidRPr="004229C1">
              <w:rPr>
                <w:rFonts w:ascii="Times New Roman" w:hAnsi="Times New Roman" w:cs="Times New Roman"/>
                <w:kern w:val="0"/>
                <w:sz w:val="22"/>
                <w:szCs w:val="22"/>
                <w:lang w:val="uk-UA"/>
              </w:rPr>
              <w:t xml:space="preserve"> стосовно </w:t>
            </w:r>
            <w:proofErr w:type="spellStart"/>
            <w:r w:rsidRPr="004229C1">
              <w:rPr>
                <w:rFonts w:ascii="Times New Roman" w:hAnsi="Times New Roman" w:cs="Times New Roman"/>
                <w:kern w:val="0"/>
                <w:sz w:val="22"/>
                <w:szCs w:val="22"/>
                <w:lang w:val="uk-UA"/>
              </w:rPr>
              <w:t>аналогiчних</w:t>
            </w:r>
            <w:proofErr w:type="spellEnd"/>
            <w:r w:rsidRPr="004229C1">
              <w:rPr>
                <w:rFonts w:ascii="Times New Roman" w:hAnsi="Times New Roman" w:cs="Times New Roman"/>
                <w:kern w:val="0"/>
                <w:sz w:val="22"/>
                <w:szCs w:val="22"/>
                <w:lang w:val="uk-UA"/>
              </w:rPr>
              <w:t xml:space="preserve"> (або </w:t>
            </w:r>
            <w:proofErr w:type="spellStart"/>
            <w:r w:rsidRPr="004229C1">
              <w:rPr>
                <w:rFonts w:ascii="Times New Roman" w:hAnsi="Times New Roman" w:cs="Times New Roman"/>
                <w:kern w:val="0"/>
                <w:sz w:val="22"/>
                <w:szCs w:val="22"/>
                <w:lang w:val="uk-UA"/>
              </w:rPr>
              <w:t>спiвмiрних</w:t>
            </w:r>
            <w:proofErr w:type="spellEnd"/>
            <w:r w:rsidRPr="004229C1">
              <w:rPr>
                <w:rFonts w:ascii="Times New Roman" w:hAnsi="Times New Roman" w:cs="Times New Roman"/>
                <w:kern w:val="0"/>
                <w:sz w:val="22"/>
                <w:szCs w:val="22"/>
                <w:lang w:val="uk-UA"/>
              </w:rPr>
              <w:t xml:space="preserve">) ринкових </w:t>
            </w:r>
            <w:proofErr w:type="spellStart"/>
            <w:r w:rsidRPr="004229C1">
              <w:rPr>
                <w:rFonts w:ascii="Times New Roman" w:hAnsi="Times New Roman" w:cs="Times New Roman"/>
                <w:kern w:val="0"/>
                <w:sz w:val="22"/>
                <w:szCs w:val="22"/>
                <w:lang w:val="uk-UA"/>
              </w:rPr>
              <w:t>показникiв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розмiрiв</w:t>
            </w:r>
            <w:proofErr w:type="spellEnd"/>
            <w:r w:rsidRPr="004229C1">
              <w:rPr>
                <w:rFonts w:ascii="Times New Roman" w:hAnsi="Times New Roman" w:cs="Times New Roman"/>
                <w:kern w:val="0"/>
                <w:sz w:val="22"/>
                <w:szCs w:val="22"/>
                <w:lang w:val="uk-UA"/>
              </w:rPr>
              <w:t xml:space="preserve"> i умов виплати винагороди. Банк приймає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щодо виплати </w:t>
            </w:r>
            <w:proofErr w:type="spellStart"/>
            <w:r w:rsidRPr="004229C1">
              <w:rPr>
                <w:rFonts w:ascii="Times New Roman" w:hAnsi="Times New Roman" w:cs="Times New Roman"/>
                <w:kern w:val="0"/>
                <w:sz w:val="22"/>
                <w:szCs w:val="22"/>
                <w:lang w:val="uk-UA"/>
              </w:rPr>
              <w:t>змiнної</w:t>
            </w:r>
            <w:proofErr w:type="spellEnd"/>
            <w:r w:rsidRPr="004229C1">
              <w:rPr>
                <w:rFonts w:ascii="Times New Roman" w:hAnsi="Times New Roman" w:cs="Times New Roman"/>
                <w:kern w:val="0"/>
                <w:sz w:val="22"/>
                <w:szCs w:val="22"/>
                <w:lang w:val="uk-UA"/>
              </w:rPr>
              <w:t xml:space="preserve"> винагороди з урахуванням прийнятих Банком </w:t>
            </w:r>
            <w:proofErr w:type="spellStart"/>
            <w:r w:rsidRPr="004229C1">
              <w:rPr>
                <w:rFonts w:ascii="Times New Roman" w:hAnsi="Times New Roman" w:cs="Times New Roman"/>
                <w:kern w:val="0"/>
                <w:sz w:val="22"/>
                <w:szCs w:val="22"/>
                <w:lang w:val="uk-UA"/>
              </w:rPr>
              <w:t>ризикiв</w:t>
            </w:r>
            <w:proofErr w:type="spellEnd"/>
            <w:r w:rsidRPr="004229C1">
              <w:rPr>
                <w:rFonts w:ascii="Times New Roman" w:hAnsi="Times New Roman" w:cs="Times New Roman"/>
                <w:kern w:val="0"/>
                <w:sz w:val="22"/>
                <w:szCs w:val="22"/>
                <w:lang w:val="uk-UA"/>
              </w:rPr>
              <w:t xml:space="preserve"> i </w:t>
            </w:r>
            <w:proofErr w:type="spellStart"/>
            <w:r w:rsidRPr="004229C1">
              <w:rPr>
                <w:rFonts w:ascii="Times New Roman" w:hAnsi="Times New Roman" w:cs="Times New Roman"/>
                <w:kern w:val="0"/>
                <w:sz w:val="22"/>
                <w:szCs w:val="22"/>
                <w:lang w:val="uk-UA"/>
              </w:rPr>
              <w:t>результатiв</w:t>
            </w:r>
            <w:proofErr w:type="spellEnd"/>
            <w:r w:rsidRPr="004229C1">
              <w:rPr>
                <w:rFonts w:ascii="Times New Roman" w:hAnsi="Times New Roman" w:cs="Times New Roman"/>
                <w:kern w:val="0"/>
                <w:sz w:val="22"/>
                <w:szCs w:val="22"/>
                <w:lang w:val="uk-UA"/>
              </w:rPr>
              <w:t xml:space="preserve"> такого прийняття, </w:t>
            </w:r>
            <w:proofErr w:type="spellStart"/>
            <w:r w:rsidRPr="004229C1">
              <w:rPr>
                <w:rFonts w:ascii="Times New Roman" w:hAnsi="Times New Roman" w:cs="Times New Roman"/>
                <w:kern w:val="0"/>
                <w:sz w:val="22"/>
                <w:szCs w:val="22"/>
                <w:lang w:val="uk-UA"/>
              </w:rPr>
              <w:t>фiнансового</w:t>
            </w:r>
            <w:proofErr w:type="spellEnd"/>
            <w:r w:rsidRPr="004229C1">
              <w:rPr>
                <w:rFonts w:ascii="Times New Roman" w:hAnsi="Times New Roman" w:cs="Times New Roman"/>
                <w:kern w:val="0"/>
                <w:sz w:val="22"/>
                <w:szCs w:val="22"/>
                <w:lang w:val="uk-UA"/>
              </w:rPr>
              <w:t xml:space="preserve"> результату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дотримання вимог до </w:t>
            </w:r>
            <w:proofErr w:type="spellStart"/>
            <w:r w:rsidRPr="004229C1">
              <w:rPr>
                <w:rFonts w:ascii="Times New Roman" w:hAnsi="Times New Roman" w:cs="Times New Roman"/>
                <w:kern w:val="0"/>
                <w:sz w:val="22"/>
                <w:szCs w:val="22"/>
                <w:lang w:val="uk-UA"/>
              </w:rPr>
              <w:t>капiталу</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пiдтримання</w:t>
            </w:r>
            <w:proofErr w:type="spellEnd"/>
            <w:r w:rsidRPr="004229C1">
              <w:rPr>
                <w:rFonts w:ascii="Times New Roman" w:hAnsi="Times New Roman" w:cs="Times New Roman"/>
                <w:kern w:val="0"/>
                <w:sz w:val="22"/>
                <w:szCs w:val="22"/>
                <w:lang w:val="uk-UA"/>
              </w:rPr>
              <w:t xml:space="preserve"> належного </w:t>
            </w:r>
            <w:proofErr w:type="spellStart"/>
            <w:r w:rsidRPr="004229C1">
              <w:rPr>
                <w:rFonts w:ascii="Times New Roman" w:hAnsi="Times New Roman" w:cs="Times New Roman"/>
                <w:kern w:val="0"/>
                <w:sz w:val="22"/>
                <w:szCs w:val="22"/>
                <w:lang w:val="uk-UA"/>
              </w:rPr>
              <w:t>рiвня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лiквiдностi</w:t>
            </w:r>
            <w:proofErr w:type="spellEnd"/>
            <w:r w:rsidRPr="004229C1">
              <w:rPr>
                <w:rFonts w:ascii="Times New Roman" w:hAnsi="Times New Roman" w:cs="Times New Roman"/>
                <w:kern w:val="0"/>
                <w:sz w:val="22"/>
                <w:szCs w:val="22"/>
                <w:lang w:val="uk-UA"/>
              </w:rPr>
              <w:t>.</w:t>
            </w:r>
          </w:p>
        </w:tc>
      </w:tr>
      <w:tr w:rsidR="007469BF" w:rsidRPr="004229C1" w14:paraId="6BD2A5B4" w14:textId="77777777">
        <w:trPr>
          <w:trHeight w:val="200"/>
        </w:trPr>
        <w:tc>
          <w:tcPr>
            <w:tcW w:w="4000" w:type="dxa"/>
            <w:tcBorders>
              <w:top w:val="single" w:sz="6" w:space="0" w:color="auto"/>
              <w:bottom w:val="single" w:sz="6" w:space="0" w:color="auto"/>
              <w:right w:val="single" w:sz="6" w:space="0" w:color="auto"/>
            </w:tcBorders>
          </w:tcPr>
          <w:p w14:paraId="271365A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auto"/>
              <w:left w:val="single" w:sz="6" w:space="0" w:color="auto"/>
              <w:bottom w:val="single" w:sz="6" w:space="0" w:color="auto"/>
              <w:right w:val="single" w:sz="6" w:space="0" w:color="auto"/>
            </w:tcBorders>
          </w:tcPr>
          <w:p w14:paraId="2E2F298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2582D6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Членам Наглядової ради (</w:t>
            </w:r>
            <w:proofErr w:type="spellStart"/>
            <w:r w:rsidRPr="004229C1">
              <w:rPr>
                <w:rFonts w:ascii="Times New Roman" w:hAnsi="Times New Roman" w:cs="Times New Roman"/>
                <w:kern w:val="0"/>
                <w:sz w:val="22"/>
                <w:szCs w:val="22"/>
                <w:lang w:val="uk-UA"/>
              </w:rPr>
              <w:t>Головi</w:t>
            </w:r>
            <w:proofErr w:type="spellEnd"/>
            <w:r w:rsidRPr="004229C1">
              <w:rPr>
                <w:rFonts w:ascii="Times New Roman" w:hAnsi="Times New Roman" w:cs="Times New Roman"/>
                <w:kern w:val="0"/>
                <w:sz w:val="22"/>
                <w:szCs w:val="22"/>
                <w:lang w:val="uk-UA"/>
              </w:rPr>
              <w:t xml:space="preserve"> Наглядової Ради та незалежним членам Наглядової Ради) виплачується </w:t>
            </w:r>
            <w:proofErr w:type="spellStart"/>
            <w:r w:rsidRPr="004229C1">
              <w:rPr>
                <w:rFonts w:ascii="Times New Roman" w:hAnsi="Times New Roman" w:cs="Times New Roman"/>
                <w:kern w:val="0"/>
                <w:sz w:val="22"/>
                <w:szCs w:val="22"/>
                <w:lang w:val="uk-UA"/>
              </w:rPr>
              <w:t>фiксована</w:t>
            </w:r>
            <w:proofErr w:type="spellEnd"/>
            <w:r w:rsidRPr="004229C1">
              <w:rPr>
                <w:rFonts w:ascii="Times New Roman" w:hAnsi="Times New Roman" w:cs="Times New Roman"/>
                <w:kern w:val="0"/>
                <w:sz w:val="22"/>
                <w:szCs w:val="22"/>
                <w:lang w:val="uk-UA"/>
              </w:rPr>
              <w:t xml:space="preserve"> винагорода за виконання ними посадових </w:t>
            </w:r>
            <w:proofErr w:type="spellStart"/>
            <w:r w:rsidRPr="004229C1">
              <w:rPr>
                <w:rFonts w:ascii="Times New Roman" w:hAnsi="Times New Roman" w:cs="Times New Roman"/>
                <w:kern w:val="0"/>
                <w:sz w:val="22"/>
                <w:szCs w:val="22"/>
                <w:lang w:val="uk-UA"/>
              </w:rPr>
              <w:t>обов'язкiв</w:t>
            </w:r>
            <w:proofErr w:type="spellEnd"/>
            <w:r w:rsidRPr="004229C1">
              <w:rPr>
                <w:rFonts w:ascii="Times New Roman" w:hAnsi="Times New Roman" w:cs="Times New Roman"/>
                <w:kern w:val="0"/>
                <w:sz w:val="22"/>
                <w:szCs w:val="22"/>
                <w:lang w:val="uk-UA"/>
              </w:rPr>
              <w:t xml:space="preserve">, а також сума </w:t>
            </w:r>
            <w:proofErr w:type="spellStart"/>
            <w:r w:rsidRPr="004229C1">
              <w:rPr>
                <w:rFonts w:ascii="Times New Roman" w:hAnsi="Times New Roman" w:cs="Times New Roman"/>
                <w:kern w:val="0"/>
                <w:sz w:val="22"/>
                <w:szCs w:val="22"/>
                <w:lang w:val="uk-UA"/>
              </w:rPr>
              <w:t>вiдшкодування</w:t>
            </w:r>
            <w:proofErr w:type="spellEnd"/>
            <w:r w:rsidRPr="004229C1">
              <w:rPr>
                <w:rFonts w:ascii="Times New Roman" w:hAnsi="Times New Roman" w:cs="Times New Roman"/>
                <w:kern w:val="0"/>
                <w:sz w:val="22"/>
                <w:szCs w:val="22"/>
                <w:lang w:val="uk-UA"/>
              </w:rPr>
              <w:t xml:space="preserve"> витрат, понесених у зв'язку з виконанням </w:t>
            </w:r>
            <w:proofErr w:type="spellStart"/>
            <w:r w:rsidRPr="004229C1">
              <w:rPr>
                <w:rFonts w:ascii="Times New Roman" w:hAnsi="Times New Roman" w:cs="Times New Roman"/>
                <w:kern w:val="0"/>
                <w:sz w:val="22"/>
                <w:szCs w:val="22"/>
                <w:lang w:val="uk-UA"/>
              </w:rPr>
              <w:t>обов'язкiв</w:t>
            </w:r>
            <w:proofErr w:type="spellEnd"/>
            <w:r w:rsidRPr="004229C1">
              <w:rPr>
                <w:rFonts w:ascii="Times New Roman" w:hAnsi="Times New Roman" w:cs="Times New Roman"/>
                <w:kern w:val="0"/>
                <w:sz w:val="22"/>
                <w:szCs w:val="22"/>
                <w:lang w:val="uk-UA"/>
              </w:rPr>
              <w:t xml:space="preserve">, та/або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компенсацiйних</w:t>
            </w:r>
            <w:proofErr w:type="spellEnd"/>
            <w:r w:rsidRPr="004229C1">
              <w:rPr>
                <w:rFonts w:ascii="Times New Roman" w:hAnsi="Times New Roman" w:cs="Times New Roman"/>
                <w:kern w:val="0"/>
                <w:sz w:val="22"/>
                <w:szCs w:val="22"/>
                <w:lang w:val="uk-UA"/>
              </w:rPr>
              <w:t xml:space="preserve"> виплат. </w:t>
            </w:r>
            <w:proofErr w:type="spellStart"/>
            <w:r w:rsidRPr="004229C1">
              <w:rPr>
                <w:rFonts w:ascii="Times New Roman" w:hAnsi="Times New Roman" w:cs="Times New Roman"/>
                <w:kern w:val="0"/>
                <w:sz w:val="22"/>
                <w:szCs w:val="22"/>
                <w:lang w:val="uk-UA"/>
              </w:rPr>
              <w:t>Змiнна</w:t>
            </w:r>
            <w:proofErr w:type="spellEnd"/>
            <w:r w:rsidRPr="004229C1">
              <w:rPr>
                <w:rFonts w:ascii="Times New Roman" w:hAnsi="Times New Roman" w:cs="Times New Roman"/>
                <w:kern w:val="0"/>
                <w:sz w:val="22"/>
                <w:szCs w:val="22"/>
                <w:lang w:val="uk-UA"/>
              </w:rPr>
              <w:t xml:space="preserve"> винагорода для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не передбачена.</w:t>
            </w:r>
          </w:p>
        </w:tc>
      </w:tr>
      <w:tr w:rsidR="007469BF" w:rsidRPr="004229C1" w14:paraId="29E5B3AB" w14:textId="77777777">
        <w:trPr>
          <w:trHeight w:val="200"/>
        </w:trPr>
        <w:tc>
          <w:tcPr>
            <w:tcW w:w="10000" w:type="dxa"/>
            <w:gridSpan w:val="3"/>
            <w:tcBorders>
              <w:top w:val="single" w:sz="6" w:space="0" w:color="auto"/>
              <w:bottom w:val="single" w:sz="6" w:space="0" w:color="auto"/>
            </w:tcBorders>
          </w:tcPr>
          <w:p w14:paraId="0B2BC9B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7. Розкриття інформації і прозорість</w:t>
            </w:r>
          </w:p>
        </w:tc>
      </w:tr>
      <w:tr w:rsidR="007469BF" w:rsidRPr="004229C1" w14:paraId="5941E7AA" w14:textId="77777777">
        <w:trPr>
          <w:trHeight w:val="200"/>
        </w:trPr>
        <w:tc>
          <w:tcPr>
            <w:tcW w:w="4000" w:type="dxa"/>
            <w:tcBorders>
              <w:top w:val="single" w:sz="6" w:space="0" w:color="auto"/>
              <w:bottom w:val="single" w:sz="6" w:space="0" w:color="auto"/>
              <w:right w:val="single" w:sz="6" w:space="0" w:color="auto"/>
            </w:tcBorders>
          </w:tcPr>
          <w:p w14:paraId="6C2A603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14:paraId="30BA078E" w14:textId="33B8F957" w:rsidR="007469BF" w:rsidRPr="004229C1" w:rsidRDefault="00557E7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BC0A9E0" w14:textId="423432DB" w:rsidR="007469BF" w:rsidRPr="004229C1" w:rsidRDefault="00557E7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Банк керується вимогами законодавства, серед іншого Положенням про розкриття інформації емітентами цінних паперів, а також особами, які надають забезпечення за такими цінними паперами, рішення НКЦПФР від 06.06.2023 № 608</w:t>
            </w:r>
          </w:p>
        </w:tc>
      </w:tr>
      <w:tr w:rsidR="007469BF" w:rsidRPr="004229C1" w14:paraId="5EDCBF18" w14:textId="77777777">
        <w:trPr>
          <w:trHeight w:val="200"/>
        </w:trPr>
        <w:tc>
          <w:tcPr>
            <w:tcW w:w="4000" w:type="dxa"/>
            <w:tcBorders>
              <w:top w:val="single" w:sz="6" w:space="0" w:color="auto"/>
              <w:bottom w:val="single" w:sz="6" w:space="0" w:color="auto"/>
              <w:right w:val="single" w:sz="6" w:space="0" w:color="auto"/>
            </w:tcBorders>
          </w:tcPr>
          <w:p w14:paraId="5061572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w:t>
            </w:r>
            <w:proofErr w:type="spellStart"/>
            <w:r w:rsidRPr="004229C1">
              <w:rPr>
                <w:rFonts w:ascii="Times New Roman" w:hAnsi="Times New Roman" w:cs="Times New Roman"/>
                <w:kern w:val="0"/>
                <w:sz w:val="22"/>
                <w:szCs w:val="22"/>
                <w:lang w:val="uk-UA"/>
              </w:rPr>
              <w:t>забезпечуєскладання</w:t>
            </w:r>
            <w:proofErr w:type="spellEnd"/>
            <w:r w:rsidRPr="004229C1">
              <w:rPr>
                <w:rFonts w:ascii="Times New Roman" w:hAnsi="Times New Roman" w:cs="Times New Roman"/>
                <w:kern w:val="0"/>
                <w:sz w:val="22"/>
                <w:szCs w:val="22"/>
                <w:lang w:val="uk-UA"/>
              </w:rPr>
              <w:t xml:space="preserve">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14:paraId="415A1AD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8C4542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Наглядова рада Банку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за: - визначення аудиторської </w:t>
            </w:r>
            <w:proofErr w:type="spellStart"/>
            <w:r w:rsidRPr="004229C1">
              <w:rPr>
                <w:rFonts w:ascii="Times New Roman" w:hAnsi="Times New Roman" w:cs="Times New Roman"/>
                <w:kern w:val="0"/>
                <w:sz w:val="22"/>
                <w:szCs w:val="22"/>
                <w:lang w:val="uk-UA"/>
              </w:rPr>
              <w:t>фiрми</w:t>
            </w:r>
            <w:proofErr w:type="spellEnd"/>
            <w:r w:rsidRPr="004229C1">
              <w:rPr>
                <w:rFonts w:ascii="Times New Roman" w:hAnsi="Times New Roman" w:cs="Times New Roman"/>
                <w:kern w:val="0"/>
                <w:sz w:val="22"/>
                <w:szCs w:val="22"/>
                <w:lang w:val="uk-UA"/>
              </w:rPr>
              <w:t xml:space="preserve"> для проведення </w:t>
            </w:r>
            <w:proofErr w:type="spellStart"/>
            <w:r w:rsidRPr="004229C1">
              <w:rPr>
                <w:rFonts w:ascii="Times New Roman" w:hAnsi="Times New Roman" w:cs="Times New Roman"/>
                <w:kern w:val="0"/>
                <w:sz w:val="22"/>
                <w:szCs w:val="22"/>
                <w:lang w:val="uk-UA"/>
              </w:rPr>
              <w:t>зовнiшнього</w:t>
            </w:r>
            <w:proofErr w:type="spellEnd"/>
            <w:r w:rsidRPr="004229C1">
              <w:rPr>
                <w:rFonts w:ascii="Times New Roman" w:hAnsi="Times New Roman" w:cs="Times New Roman"/>
                <w:kern w:val="0"/>
                <w:sz w:val="22"/>
                <w:szCs w:val="22"/>
                <w:lang w:val="uk-UA"/>
              </w:rPr>
              <w:t xml:space="preserve"> аудиту, у тому </w:t>
            </w:r>
            <w:proofErr w:type="spellStart"/>
            <w:r w:rsidRPr="004229C1">
              <w:rPr>
                <w:rFonts w:ascii="Times New Roman" w:hAnsi="Times New Roman" w:cs="Times New Roman"/>
                <w:kern w:val="0"/>
                <w:sz w:val="22"/>
                <w:szCs w:val="22"/>
                <w:lang w:val="uk-UA"/>
              </w:rPr>
              <w:t>числi</w:t>
            </w:r>
            <w:proofErr w:type="spellEnd"/>
            <w:r w:rsidRPr="004229C1">
              <w:rPr>
                <w:rFonts w:ascii="Times New Roman" w:hAnsi="Times New Roman" w:cs="Times New Roman"/>
                <w:kern w:val="0"/>
                <w:sz w:val="22"/>
                <w:szCs w:val="22"/>
                <w:lang w:val="uk-UA"/>
              </w:rPr>
              <w:t xml:space="preserve"> для проведення </w:t>
            </w:r>
            <w:proofErr w:type="spellStart"/>
            <w:r w:rsidRPr="004229C1">
              <w:rPr>
                <w:rFonts w:ascii="Times New Roman" w:hAnsi="Times New Roman" w:cs="Times New Roman"/>
                <w:kern w:val="0"/>
                <w:sz w:val="22"/>
                <w:szCs w:val="22"/>
                <w:lang w:val="uk-UA"/>
              </w:rPr>
              <w:t>щорiчної</w:t>
            </w:r>
            <w:proofErr w:type="spellEnd"/>
            <w:r w:rsidRPr="004229C1">
              <w:rPr>
                <w:rFonts w:ascii="Times New Roman" w:hAnsi="Times New Roman" w:cs="Times New Roman"/>
                <w:kern w:val="0"/>
                <w:sz w:val="22"/>
                <w:szCs w:val="22"/>
                <w:lang w:val="uk-UA"/>
              </w:rPr>
              <w:t xml:space="preserve"> аудиторської </w:t>
            </w:r>
            <w:proofErr w:type="spellStart"/>
            <w:r w:rsidRPr="004229C1">
              <w:rPr>
                <w:rFonts w:ascii="Times New Roman" w:hAnsi="Times New Roman" w:cs="Times New Roman"/>
                <w:kern w:val="0"/>
                <w:sz w:val="22"/>
                <w:szCs w:val="22"/>
                <w:lang w:val="uk-UA"/>
              </w:rPr>
              <w:t>перевiрки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фiнансової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та затвердження умов договору, що укладатиметься з аудиторською </w:t>
            </w:r>
            <w:proofErr w:type="spellStart"/>
            <w:r w:rsidRPr="004229C1">
              <w:rPr>
                <w:rFonts w:ascii="Times New Roman" w:hAnsi="Times New Roman" w:cs="Times New Roman"/>
                <w:kern w:val="0"/>
                <w:sz w:val="22"/>
                <w:szCs w:val="22"/>
                <w:lang w:val="uk-UA"/>
              </w:rPr>
              <w:t>фiрмою</w:t>
            </w:r>
            <w:proofErr w:type="spellEnd"/>
            <w:r w:rsidRPr="004229C1">
              <w:rPr>
                <w:rFonts w:ascii="Times New Roman" w:hAnsi="Times New Roman" w:cs="Times New Roman"/>
                <w:kern w:val="0"/>
                <w:sz w:val="22"/>
                <w:szCs w:val="22"/>
                <w:lang w:val="uk-UA"/>
              </w:rPr>
              <w:t xml:space="preserve">, встановлення </w:t>
            </w:r>
            <w:proofErr w:type="spellStart"/>
            <w:r w:rsidRPr="004229C1">
              <w:rPr>
                <w:rFonts w:ascii="Times New Roman" w:hAnsi="Times New Roman" w:cs="Times New Roman"/>
                <w:kern w:val="0"/>
                <w:sz w:val="22"/>
                <w:szCs w:val="22"/>
                <w:lang w:val="uk-UA"/>
              </w:rPr>
              <w:t>розмiру</w:t>
            </w:r>
            <w:proofErr w:type="spellEnd"/>
            <w:r w:rsidRPr="004229C1">
              <w:rPr>
                <w:rFonts w:ascii="Times New Roman" w:hAnsi="Times New Roman" w:cs="Times New Roman"/>
                <w:kern w:val="0"/>
                <w:sz w:val="22"/>
                <w:szCs w:val="22"/>
                <w:lang w:val="uk-UA"/>
              </w:rPr>
              <w:t xml:space="preserve"> оплати послуг; розгляд висновку </w:t>
            </w:r>
            <w:proofErr w:type="spellStart"/>
            <w:r w:rsidRPr="004229C1">
              <w:rPr>
                <w:rFonts w:ascii="Times New Roman" w:hAnsi="Times New Roman" w:cs="Times New Roman"/>
                <w:kern w:val="0"/>
                <w:sz w:val="22"/>
                <w:szCs w:val="22"/>
                <w:lang w:val="uk-UA"/>
              </w:rPr>
              <w:t>зовнiшнього</w:t>
            </w:r>
            <w:proofErr w:type="spellEnd"/>
            <w:r w:rsidRPr="004229C1">
              <w:rPr>
                <w:rFonts w:ascii="Times New Roman" w:hAnsi="Times New Roman" w:cs="Times New Roman"/>
                <w:kern w:val="0"/>
                <w:sz w:val="22"/>
                <w:szCs w:val="22"/>
                <w:lang w:val="uk-UA"/>
              </w:rPr>
              <w:t xml:space="preserve"> аудиту Банку та </w:t>
            </w:r>
            <w:proofErr w:type="spellStart"/>
            <w:r w:rsidRPr="004229C1">
              <w:rPr>
                <w:rFonts w:ascii="Times New Roman" w:hAnsi="Times New Roman" w:cs="Times New Roman"/>
                <w:kern w:val="0"/>
                <w:sz w:val="22"/>
                <w:szCs w:val="22"/>
                <w:lang w:val="uk-UA"/>
              </w:rPr>
              <w:t>пiдготовка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рекомендацiй</w:t>
            </w:r>
            <w:proofErr w:type="spellEnd"/>
            <w:r w:rsidRPr="004229C1">
              <w:rPr>
                <w:rFonts w:ascii="Times New Roman" w:hAnsi="Times New Roman" w:cs="Times New Roman"/>
                <w:kern w:val="0"/>
                <w:sz w:val="22"/>
                <w:szCs w:val="22"/>
                <w:lang w:val="uk-UA"/>
              </w:rPr>
              <w:t xml:space="preserve"> Загальним зборам для прийняття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щодо нього; - попереднє схвалення </w:t>
            </w:r>
            <w:proofErr w:type="spellStart"/>
            <w:r w:rsidRPr="004229C1">
              <w:rPr>
                <w:rFonts w:ascii="Times New Roman" w:hAnsi="Times New Roman" w:cs="Times New Roman"/>
                <w:kern w:val="0"/>
                <w:sz w:val="22"/>
                <w:szCs w:val="22"/>
                <w:lang w:val="uk-UA"/>
              </w:rPr>
              <w:t>рiчного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звiту</w:t>
            </w:r>
            <w:proofErr w:type="spellEnd"/>
            <w:r w:rsidRPr="004229C1">
              <w:rPr>
                <w:rFonts w:ascii="Times New Roman" w:hAnsi="Times New Roman" w:cs="Times New Roman"/>
                <w:kern w:val="0"/>
                <w:sz w:val="22"/>
                <w:szCs w:val="22"/>
                <w:lang w:val="uk-UA"/>
              </w:rPr>
              <w:t xml:space="preserve"> Банку, який в подальшому затверджується на </w:t>
            </w:r>
            <w:proofErr w:type="spellStart"/>
            <w:r w:rsidRPr="004229C1">
              <w:rPr>
                <w:rFonts w:ascii="Times New Roman" w:hAnsi="Times New Roman" w:cs="Times New Roman"/>
                <w:kern w:val="0"/>
                <w:sz w:val="22"/>
                <w:szCs w:val="22"/>
                <w:lang w:val="uk-UA"/>
              </w:rPr>
              <w:t>рiчних</w:t>
            </w:r>
            <w:proofErr w:type="spellEnd"/>
            <w:r w:rsidRPr="004229C1">
              <w:rPr>
                <w:rFonts w:ascii="Times New Roman" w:hAnsi="Times New Roman" w:cs="Times New Roman"/>
                <w:kern w:val="0"/>
                <w:sz w:val="22"/>
                <w:szCs w:val="22"/>
                <w:lang w:val="uk-UA"/>
              </w:rPr>
              <w:t xml:space="preserve"> Загальних зборах. Наглядова рада має право </w:t>
            </w:r>
            <w:proofErr w:type="spellStart"/>
            <w:r w:rsidRPr="004229C1">
              <w:rPr>
                <w:rFonts w:ascii="Times New Roman" w:hAnsi="Times New Roman" w:cs="Times New Roman"/>
                <w:kern w:val="0"/>
                <w:sz w:val="22"/>
                <w:szCs w:val="22"/>
                <w:lang w:val="uk-UA"/>
              </w:rPr>
              <w:t>перевiрки</w:t>
            </w:r>
            <w:proofErr w:type="spellEnd"/>
            <w:r w:rsidRPr="004229C1">
              <w:rPr>
                <w:rFonts w:ascii="Times New Roman" w:hAnsi="Times New Roman" w:cs="Times New Roman"/>
                <w:kern w:val="0"/>
                <w:sz w:val="22"/>
                <w:szCs w:val="22"/>
                <w:lang w:val="uk-UA"/>
              </w:rPr>
              <w:t xml:space="preserve"> бухгалтерських даних та виконання будь-яких </w:t>
            </w:r>
            <w:proofErr w:type="spellStart"/>
            <w:r w:rsidRPr="004229C1">
              <w:rPr>
                <w:rFonts w:ascii="Times New Roman" w:hAnsi="Times New Roman" w:cs="Times New Roman"/>
                <w:kern w:val="0"/>
                <w:sz w:val="22"/>
                <w:szCs w:val="22"/>
                <w:lang w:val="uk-UA"/>
              </w:rPr>
              <w:t>управлiнських</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функцiй</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документiв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звiтiв</w:t>
            </w:r>
            <w:proofErr w:type="spellEnd"/>
            <w:r w:rsidRPr="004229C1">
              <w:rPr>
                <w:rFonts w:ascii="Times New Roman" w:hAnsi="Times New Roman" w:cs="Times New Roman"/>
                <w:kern w:val="0"/>
                <w:sz w:val="22"/>
                <w:szCs w:val="22"/>
                <w:lang w:val="uk-UA"/>
              </w:rPr>
              <w:t xml:space="preserve"> Банку з питань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ведення </w:t>
            </w:r>
            <w:proofErr w:type="spellStart"/>
            <w:r w:rsidRPr="004229C1">
              <w:rPr>
                <w:rFonts w:ascii="Times New Roman" w:hAnsi="Times New Roman" w:cs="Times New Roman"/>
                <w:kern w:val="0"/>
                <w:sz w:val="22"/>
                <w:szCs w:val="22"/>
                <w:lang w:val="uk-UA"/>
              </w:rPr>
              <w:t>документацiї</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Наглядова рада </w:t>
            </w:r>
            <w:proofErr w:type="spellStart"/>
            <w:r w:rsidRPr="004229C1">
              <w:rPr>
                <w:rFonts w:ascii="Times New Roman" w:hAnsi="Times New Roman" w:cs="Times New Roman"/>
                <w:kern w:val="0"/>
                <w:sz w:val="22"/>
                <w:szCs w:val="22"/>
                <w:lang w:val="uk-UA"/>
              </w:rPr>
              <w:t>перевiряє</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щорiчну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фiнансову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звiтнiсть</w:t>
            </w:r>
            <w:proofErr w:type="spellEnd"/>
            <w:r w:rsidRPr="004229C1">
              <w:rPr>
                <w:rFonts w:ascii="Times New Roman" w:hAnsi="Times New Roman" w:cs="Times New Roman"/>
                <w:kern w:val="0"/>
                <w:sz w:val="22"/>
                <w:szCs w:val="22"/>
                <w:lang w:val="uk-UA"/>
              </w:rPr>
              <w:t xml:space="preserve">, включаючи </w:t>
            </w:r>
            <w:proofErr w:type="spellStart"/>
            <w:r w:rsidRPr="004229C1">
              <w:rPr>
                <w:rFonts w:ascii="Times New Roman" w:hAnsi="Times New Roman" w:cs="Times New Roman"/>
                <w:kern w:val="0"/>
                <w:sz w:val="22"/>
                <w:szCs w:val="22"/>
                <w:lang w:val="uk-UA"/>
              </w:rPr>
              <w:t>пропозицiї</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розподiлу</w:t>
            </w:r>
            <w:proofErr w:type="spellEnd"/>
            <w:r w:rsidRPr="004229C1">
              <w:rPr>
                <w:rFonts w:ascii="Times New Roman" w:hAnsi="Times New Roman" w:cs="Times New Roman"/>
                <w:kern w:val="0"/>
                <w:sz w:val="22"/>
                <w:szCs w:val="22"/>
                <w:lang w:val="uk-UA"/>
              </w:rPr>
              <w:t xml:space="preserve"> прибутку, та подає свої </w:t>
            </w:r>
            <w:proofErr w:type="spellStart"/>
            <w:r w:rsidRPr="004229C1">
              <w:rPr>
                <w:rFonts w:ascii="Times New Roman" w:hAnsi="Times New Roman" w:cs="Times New Roman"/>
                <w:kern w:val="0"/>
                <w:sz w:val="22"/>
                <w:szCs w:val="22"/>
                <w:lang w:val="uk-UA"/>
              </w:rPr>
              <w:t>пропозицiї</w:t>
            </w:r>
            <w:proofErr w:type="spellEnd"/>
            <w:r w:rsidRPr="004229C1">
              <w:rPr>
                <w:rFonts w:ascii="Times New Roman" w:hAnsi="Times New Roman" w:cs="Times New Roman"/>
                <w:kern w:val="0"/>
                <w:sz w:val="22"/>
                <w:szCs w:val="22"/>
                <w:lang w:val="uk-UA"/>
              </w:rPr>
              <w:t xml:space="preserve"> щодо цього на розгляд Загальних </w:t>
            </w:r>
            <w:proofErr w:type="spellStart"/>
            <w:r w:rsidRPr="004229C1">
              <w:rPr>
                <w:rFonts w:ascii="Times New Roman" w:hAnsi="Times New Roman" w:cs="Times New Roman"/>
                <w:kern w:val="0"/>
                <w:sz w:val="22"/>
                <w:szCs w:val="22"/>
                <w:lang w:val="uk-UA"/>
              </w:rPr>
              <w:t>зборiв</w:t>
            </w:r>
            <w:proofErr w:type="spellEnd"/>
            <w:r w:rsidRPr="004229C1">
              <w:rPr>
                <w:rFonts w:ascii="Times New Roman" w:hAnsi="Times New Roman" w:cs="Times New Roman"/>
                <w:kern w:val="0"/>
                <w:sz w:val="22"/>
                <w:szCs w:val="22"/>
                <w:lang w:val="uk-UA"/>
              </w:rPr>
              <w:t>.</w:t>
            </w:r>
          </w:p>
        </w:tc>
      </w:tr>
      <w:tr w:rsidR="007469BF" w:rsidRPr="004229C1" w14:paraId="6DD115BB" w14:textId="77777777">
        <w:trPr>
          <w:trHeight w:val="200"/>
        </w:trPr>
        <w:tc>
          <w:tcPr>
            <w:tcW w:w="4000" w:type="dxa"/>
            <w:tcBorders>
              <w:top w:val="single" w:sz="6" w:space="0" w:color="auto"/>
              <w:bottom w:val="single" w:sz="6" w:space="0" w:color="auto"/>
              <w:right w:val="single" w:sz="6" w:space="0" w:color="auto"/>
            </w:tcBorders>
          </w:tcPr>
          <w:p w14:paraId="559BE9A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Адреса </w:t>
            </w:r>
            <w:proofErr w:type="spellStart"/>
            <w:r w:rsidRPr="004229C1">
              <w:rPr>
                <w:rFonts w:ascii="Times New Roman" w:hAnsi="Times New Roman" w:cs="Times New Roman"/>
                <w:kern w:val="0"/>
                <w:sz w:val="22"/>
                <w:szCs w:val="22"/>
                <w:lang w:val="uk-UA"/>
              </w:rPr>
              <w:t>вебсайту</w:t>
            </w:r>
            <w:proofErr w:type="spellEnd"/>
            <w:r w:rsidRPr="004229C1">
              <w:rPr>
                <w:rFonts w:ascii="Times New Roman" w:hAnsi="Times New Roman" w:cs="Times New Roman"/>
                <w:kern w:val="0"/>
                <w:sz w:val="22"/>
                <w:szCs w:val="22"/>
                <w:lang w:val="uk-UA"/>
              </w:rPr>
              <w:t xml:space="preserve">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595EFDF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2C41A7DA"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https://www.pravex.com.ua/o-banke/pro-nas/rozkrittya-informaciyi</w:t>
            </w:r>
          </w:p>
        </w:tc>
      </w:tr>
      <w:tr w:rsidR="007469BF" w:rsidRPr="004229C1" w14:paraId="50B5B964" w14:textId="77777777">
        <w:trPr>
          <w:trHeight w:val="200"/>
        </w:trPr>
        <w:tc>
          <w:tcPr>
            <w:tcW w:w="10000" w:type="dxa"/>
            <w:gridSpan w:val="3"/>
            <w:tcBorders>
              <w:top w:val="single" w:sz="6" w:space="0" w:color="auto"/>
              <w:bottom w:val="single" w:sz="6" w:space="0" w:color="auto"/>
            </w:tcBorders>
          </w:tcPr>
          <w:p w14:paraId="093BA85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8. Система контролю і стандарти етики</w:t>
            </w:r>
          </w:p>
        </w:tc>
      </w:tr>
      <w:tr w:rsidR="007469BF" w:rsidRPr="004229C1" w14:paraId="42226A47" w14:textId="77777777">
        <w:trPr>
          <w:trHeight w:val="200"/>
        </w:trPr>
        <w:tc>
          <w:tcPr>
            <w:tcW w:w="4000" w:type="dxa"/>
            <w:tcBorders>
              <w:top w:val="single" w:sz="6" w:space="0" w:color="auto"/>
              <w:bottom w:val="single" w:sz="6" w:space="0" w:color="auto"/>
              <w:right w:val="single" w:sz="6" w:space="0" w:color="auto"/>
            </w:tcBorders>
          </w:tcPr>
          <w:p w14:paraId="66961C7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14:paraId="27CF446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55809D61"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Впроваджена Банком система </w:t>
            </w:r>
            <w:proofErr w:type="spellStart"/>
            <w:r w:rsidRPr="004229C1">
              <w:rPr>
                <w:rFonts w:ascii="Times New Roman" w:hAnsi="Times New Roman" w:cs="Times New Roman"/>
                <w:kern w:val="0"/>
                <w:sz w:val="22"/>
                <w:szCs w:val="22"/>
                <w:lang w:val="uk-UA"/>
              </w:rPr>
              <w:t>внутрiшнього</w:t>
            </w:r>
            <w:proofErr w:type="spellEnd"/>
            <w:r w:rsidRPr="004229C1">
              <w:rPr>
                <w:rFonts w:ascii="Times New Roman" w:hAnsi="Times New Roman" w:cs="Times New Roman"/>
                <w:kern w:val="0"/>
                <w:sz w:val="22"/>
                <w:szCs w:val="22"/>
                <w:lang w:val="uk-UA"/>
              </w:rPr>
              <w:t xml:space="preserve"> контролю створена у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до вимог чинного законодавства та нормативно-правових </w:t>
            </w:r>
            <w:proofErr w:type="spellStart"/>
            <w:r w:rsidRPr="004229C1">
              <w:rPr>
                <w:rFonts w:ascii="Times New Roman" w:hAnsi="Times New Roman" w:cs="Times New Roman"/>
                <w:kern w:val="0"/>
                <w:sz w:val="22"/>
                <w:szCs w:val="22"/>
                <w:lang w:val="uk-UA"/>
              </w:rPr>
              <w:t>актiв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Нацiонального</w:t>
            </w:r>
            <w:proofErr w:type="spellEnd"/>
            <w:r w:rsidRPr="004229C1">
              <w:rPr>
                <w:rFonts w:ascii="Times New Roman" w:hAnsi="Times New Roman" w:cs="Times New Roman"/>
                <w:kern w:val="0"/>
                <w:sz w:val="22"/>
                <w:szCs w:val="22"/>
                <w:lang w:val="uk-UA"/>
              </w:rPr>
              <w:t xml:space="preserve"> банку України, у тому </w:t>
            </w:r>
            <w:proofErr w:type="spellStart"/>
            <w:r w:rsidRPr="004229C1">
              <w:rPr>
                <w:rFonts w:ascii="Times New Roman" w:hAnsi="Times New Roman" w:cs="Times New Roman"/>
                <w:kern w:val="0"/>
                <w:sz w:val="22"/>
                <w:szCs w:val="22"/>
                <w:lang w:val="uk-UA"/>
              </w:rPr>
              <w:t>числi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моделi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концепцiї</w:t>
            </w:r>
            <w:proofErr w:type="spellEnd"/>
            <w:r w:rsidRPr="004229C1">
              <w:rPr>
                <w:rFonts w:ascii="Times New Roman" w:hAnsi="Times New Roman" w:cs="Times New Roman"/>
                <w:kern w:val="0"/>
                <w:sz w:val="22"/>
                <w:szCs w:val="22"/>
                <w:lang w:val="uk-UA"/>
              </w:rPr>
              <w:t xml:space="preserve"> "трьох </w:t>
            </w:r>
            <w:proofErr w:type="spellStart"/>
            <w:r w:rsidRPr="004229C1">
              <w:rPr>
                <w:rFonts w:ascii="Times New Roman" w:hAnsi="Times New Roman" w:cs="Times New Roman"/>
                <w:kern w:val="0"/>
                <w:sz w:val="22"/>
                <w:szCs w:val="22"/>
                <w:lang w:val="uk-UA"/>
              </w:rPr>
              <w:t>лiнiй</w:t>
            </w:r>
            <w:proofErr w:type="spellEnd"/>
            <w:r w:rsidRPr="004229C1">
              <w:rPr>
                <w:rFonts w:ascii="Times New Roman" w:hAnsi="Times New Roman" w:cs="Times New Roman"/>
                <w:kern w:val="0"/>
                <w:sz w:val="22"/>
                <w:szCs w:val="22"/>
                <w:lang w:val="uk-UA"/>
              </w:rPr>
              <w:t xml:space="preserve"> захисту". Перша </w:t>
            </w:r>
            <w:proofErr w:type="spellStart"/>
            <w:r w:rsidRPr="004229C1">
              <w:rPr>
                <w:rFonts w:ascii="Times New Roman" w:hAnsi="Times New Roman" w:cs="Times New Roman"/>
                <w:kern w:val="0"/>
                <w:sz w:val="22"/>
                <w:szCs w:val="22"/>
                <w:lang w:val="uk-UA"/>
              </w:rPr>
              <w:t>лiнiя</w:t>
            </w:r>
            <w:proofErr w:type="spellEnd"/>
            <w:r w:rsidRPr="004229C1">
              <w:rPr>
                <w:rFonts w:ascii="Times New Roman" w:hAnsi="Times New Roman" w:cs="Times New Roman"/>
                <w:kern w:val="0"/>
                <w:sz w:val="22"/>
                <w:szCs w:val="22"/>
                <w:lang w:val="uk-UA"/>
              </w:rPr>
              <w:t xml:space="preserve"> - на </w:t>
            </w:r>
            <w:proofErr w:type="spellStart"/>
            <w:r w:rsidRPr="004229C1">
              <w:rPr>
                <w:rFonts w:ascii="Times New Roman" w:hAnsi="Times New Roman" w:cs="Times New Roman"/>
                <w:kern w:val="0"/>
                <w:sz w:val="22"/>
                <w:szCs w:val="22"/>
                <w:lang w:val="uk-UA"/>
              </w:rPr>
              <w:t>рiвнi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бiзнес-пiдроздiлiв</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пiдтримки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 </w:t>
            </w:r>
            <w:proofErr w:type="spellStart"/>
            <w:r w:rsidRPr="004229C1">
              <w:rPr>
                <w:rFonts w:ascii="Times New Roman" w:hAnsi="Times New Roman" w:cs="Times New Roman"/>
                <w:kern w:val="0"/>
                <w:sz w:val="22"/>
                <w:szCs w:val="22"/>
                <w:lang w:val="uk-UA"/>
              </w:rPr>
              <w:t>Цi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пiдроздiли</w:t>
            </w:r>
            <w:proofErr w:type="spellEnd"/>
            <w:r w:rsidRPr="004229C1">
              <w:rPr>
                <w:rFonts w:ascii="Times New Roman" w:hAnsi="Times New Roman" w:cs="Times New Roman"/>
                <w:kern w:val="0"/>
                <w:sz w:val="22"/>
                <w:szCs w:val="22"/>
                <w:lang w:val="uk-UA"/>
              </w:rPr>
              <w:t xml:space="preserve"> приймають ризики та несуть </w:t>
            </w:r>
            <w:proofErr w:type="spellStart"/>
            <w:r w:rsidRPr="004229C1">
              <w:rPr>
                <w:rFonts w:ascii="Times New Roman" w:hAnsi="Times New Roman" w:cs="Times New Roman"/>
                <w:kern w:val="0"/>
                <w:sz w:val="22"/>
                <w:szCs w:val="22"/>
                <w:lang w:val="uk-UA"/>
              </w:rPr>
              <w:t>вiдповiдальнiсть</w:t>
            </w:r>
            <w:proofErr w:type="spellEnd"/>
            <w:r w:rsidRPr="004229C1">
              <w:rPr>
                <w:rFonts w:ascii="Times New Roman" w:hAnsi="Times New Roman" w:cs="Times New Roman"/>
                <w:kern w:val="0"/>
                <w:sz w:val="22"/>
                <w:szCs w:val="22"/>
                <w:lang w:val="uk-UA"/>
              </w:rPr>
              <w:t xml:space="preserve"> за них, </w:t>
            </w:r>
            <w:proofErr w:type="spellStart"/>
            <w:r w:rsidRPr="004229C1">
              <w:rPr>
                <w:rFonts w:ascii="Times New Roman" w:hAnsi="Times New Roman" w:cs="Times New Roman"/>
                <w:kern w:val="0"/>
                <w:sz w:val="22"/>
                <w:szCs w:val="22"/>
                <w:lang w:val="uk-UA"/>
              </w:rPr>
              <w:t>здiйснюють</w:t>
            </w:r>
            <w:proofErr w:type="spellEnd"/>
            <w:r w:rsidRPr="004229C1">
              <w:rPr>
                <w:rFonts w:ascii="Times New Roman" w:hAnsi="Times New Roman" w:cs="Times New Roman"/>
                <w:kern w:val="0"/>
                <w:sz w:val="22"/>
                <w:szCs w:val="22"/>
                <w:lang w:val="uk-UA"/>
              </w:rPr>
              <w:t xml:space="preserve"> поточне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i подають </w:t>
            </w:r>
            <w:proofErr w:type="spellStart"/>
            <w:r w:rsidRPr="004229C1">
              <w:rPr>
                <w:rFonts w:ascii="Times New Roman" w:hAnsi="Times New Roman" w:cs="Times New Roman"/>
                <w:kern w:val="0"/>
                <w:sz w:val="22"/>
                <w:szCs w:val="22"/>
                <w:lang w:val="uk-UA"/>
              </w:rPr>
              <w:t>звiти</w:t>
            </w:r>
            <w:proofErr w:type="spellEnd"/>
            <w:r w:rsidRPr="004229C1">
              <w:rPr>
                <w:rFonts w:ascii="Times New Roman" w:hAnsi="Times New Roman" w:cs="Times New Roman"/>
                <w:kern w:val="0"/>
                <w:sz w:val="22"/>
                <w:szCs w:val="22"/>
                <w:lang w:val="uk-UA"/>
              </w:rPr>
              <w:t xml:space="preserve"> щодо поточного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такими ризиками; друга </w:t>
            </w:r>
            <w:proofErr w:type="spellStart"/>
            <w:r w:rsidRPr="004229C1">
              <w:rPr>
                <w:rFonts w:ascii="Times New Roman" w:hAnsi="Times New Roman" w:cs="Times New Roman"/>
                <w:kern w:val="0"/>
                <w:sz w:val="22"/>
                <w:szCs w:val="22"/>
                <w:lang w:val="uk-UA"/>
              </w:rPr>
              <w:t>лiнiя</w:t>
            </w:r>
            <w:proofErr w:type="spellEnd"/>
            <w:r w:rsidRPr="004229C1">
              <w:rPr>
                <w:rFonts w:ascii="Times New Roman" w:hAnsi="Times New Roman" w:cs="Times New Roman"/>
                <w:kern w:val="0"/>
                <w:sz w:val="22"/>
                <w:szCs w:val="22"/>
                <w:lang w:val="uk-UA"/>
              </w:rPr>
              <w:t xml:space="preserve"> - на </w:t>
            </w:r>
            <w:proofErr w:type="spellStart"/>
            <w:r w:rsidRPr="004229C1">
              <w:rPr>
                <w:rFonts w:ascii="Times New Roman" w:hAnsi="Times New Roman" w:cs="Times New Roman"/>
                <w:kern w:val="0"/>
                <w:sz w:val="22"/>
                <w:szCs w:val="22"/>
                <w:lang w:val="uk-UA"/>
              </w:rPr>
              <w:t>рiвнi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з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та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комплаєнс</w:t>
            </w:r>
            <w:proofErr w:type="spellEnd"/>
            <w:r w:rsidRPr="004229C1">
              <w:rPr>
                <w:rFonts w:ascii="Times New Roman" w:hAnsi="Times New Roman" w:cs="Times New Roman"/>
                <w:kern w:val="0"/>
                <w:sz w:val="22"/>
                <w:szCs w:val="22"/>
                <w:lang w:val="uk-UA"/>
              </w:rPr>
              <w:t xml:space="preserve">; третя </w:t>
            </w:r>
            <w:proofErr w:type="spellStart"/>
            <w:r w:rsidRPr="004229C1">
              <w:rPr>
                <w:rFonts w:ascii="Times New Roman" w:hAnsi="Times New Roman" w:cs="Times New Roman"/>
                <w:kern w:val="0"/>
                <w:sz w:val="22"/>
                <w:szCs w:val="22"/>
                <w:lang w:val="uk-UA"/>
              </w:rPr>
              <w:t>лiнiя</w:t>
            </w:r>
            <w:proofErr w:type="spellEnd"/>
            <w:r w:rsidRPr="004229C1">
              <w:rPr>
                <w:rFonts w:ascii="Times New Roman" w:hAnsi="Times New Roman" w:cs="Times New Roman"/>
                <w:kern w:val="0"/>
                <w:sz w:val="22"/>
                <w:szCs w:val="22"/>
                <w:lang w:val="uk-UA"/>
              </w:rPr>
              <w:t xml:space="preserve"> - на </w:t>
            </w:r>
            <w:proofErr w:type="spellStart"/>
            <w:r w:rsidRPr="004229C1">
              <w:rPr>
                <w:rFonts w:ascii="Times New Roman" w:hAnsi="Times New Roman" w:cs="Times New Roman"/>
                <w:kern w:val="0"/>
                <w:sz w:val="22"/>
                <w:szCs w:val="22"/>
                <w:lang w:val="uk-UA"/>
              </w:rPr>
              <w:t>рiвнi</w:t>
            </w:r>
            <w:proofErr w:type="spellEnd"/>
            <w:r w:rsidRPr="004229C1">
              <w:rPr>
                <w:rFonts w:ascii="Times New Roman" w:hAnsi="Times New Roman" w:cs="Times New Roman"/>
                <w:kern w:val="0"/>
                <w:sz w:val="22"/>
                <w:szCs w:val="22"/>
                <w:lang w:val="uk-UA"/>
              </w:rPr>
              <w:t xml:space="preserve"> служби </w:t>
            </w:r>
            <w:proofErr w:type="spellStart"/>
            <w:r w:rsidRPr="004229C1">
              <w:rPr>
                <w:rFonts w:ascii="Times New Roman" w:hAnsi="Times New Roman" w:cs="Times New Roman"/>
                <w:kern w:val="0"/>
                <w:sz w:val="22"/>
                <w:szCs w:val="22"/>
                <w:lang w:val="uk-UA"/>
              </w:rPr>
              <w:t>внутрiшнього</w:t>
            </w:r>
            <w:proofErr w:type="spellEnd"/>
            <w:r w:rsidRPr="004229C1">
              <w:rPr>
                <w:rFonts w:ascii="Times New Roman" w:hAnsi="Times New Roman" w:cs="Times New Roman"/>
                <w:kern w:val="0"/>
                <w:sz w:val="22"/>
                <w:szCs w:val="22"/>
                <w:lang w:val="uk-UA"/>
              </w:rPr>
              <w:t xml:space="preserve"> аудиту щодо </w:t>
            </w:r>
            <w:proofErr w:type="spellStart"/>
            <w:r w:rsidRPr="004229C1">
              <w:rPr>
                <w:rFonts w:ascii="Times New Roman" w:hAnsi="Times New Roman" w:cs="Times New Roman"/>
                <w:kern w:val="0"/>
                <w:sz w:val="22"/>
                <w:szCs w:val="22"/>
                <w:lang w:val="uk-UA"/>
              </w:rPr>
              <w:t>перевiрки</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оцiнки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ефективностi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функцiонування</w:t>
            </w:r>
            <w:proofErr w:type="spellEnd"/>
            <w:r w:rsidRPr="004229C1">
              <w:rPr>
                <w:rFonts w:ascii="Times New Roman" w:hAnsi="Times New Roman" w:cs="Times New Roman"/>
                <w:kern w:val="0"/>
                <w:sz w:val="22"/>
                <w:szCs w:val="22"/>
                <w:lang w:val="uk-UA"/>
              </w:rPr>
              <w:t xml:space="preserve"> системи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w:t>
            </w:r>
          </w:p>
        </w:tc>
      </w:tr>
      <w:tr w:rsidR="007469BF" w:rsidRPr="004229C1" w14:paraId="4556662C" w14:textId="77777777">
        <w:trPr>
          <w:trHeight w:val="200"/>
        </w:trPr>
        <w:tc>
          <w:tcPr>
            <w:tcW w:w="4000" w:type="dxa"/>
            <w:tcBorders>
              <w:top w:val="single" w:sz="6" w:space="0" w:color="auto"/>
              <w:bottom w:val="single" w:sz="6" w:space="0" w:color="auto"/>
              <w:right w:val="single" w:sz="6" w:space="0" w:color="auto"/>
            </w:tcBorders>
          </w:tcPr>
          <w:p w14:paraId="3D54100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Рада (невиконавчі директори ради директорів) має механізми внутрішнього контролю особи, 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14:paraId="5CF83F3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A9D732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Наглядова рада Банку </w:t>
            </w:r>
            <w:proofErr w:type="spellStart"/>
            <w:r w:rsidRPr="004229C1">
              <w:rPr>
                <w:rFonts w:ascii="Times New Roman" w:hAnsi="Times New Roman" w:cs="Times New Roman"/>
                <w:kern w:val="0"/>
                <w:sz w:val="22"/>
                <w:szCs w:val="22"/>
                <w:lang w:val="uk-UA"/>
              </w:rPr>
              <w:t>здiйснює</w:t>
            </w:r>
            <w:proofErr w:type="spellEnd"/>
            <w:r w:rsidRPr="004229C1">
              <w:rPr>
                <w:rFonts w:ascii="Times New Roman" w:hAnsi="Times New Roman" w:cs="Times New Roman"/>
                <w:kern w:val="0"/>
                <w:sz w:val="22"/>
                <w:szCs w:val="22"/>
                <w:lang w:val="uk-UA"/>
              </w:rPr>
              <w:t xml:space="preserve"> контроль за </w:t>
            </w:r>
            <w:proofErr w:type="spellStart"/>
            <w:r w:rsidRPr="004229C1">
              <w:rPr>
                <w:rFonts w:ascii="Times New Roman" w:hAnsi="Times New Roman" w:cs="Times New Roman"/>
                <w:kern w:val="0"/>
                <w:sz w:val="22"/>
                <w:szCs w:val="22"/>
                <w:lang w:val="uk-UA"/>
              </w:rPr>
              <w:t>дiяльнiстю</w:t>
            </w:r>
            <w:proofErr w:type="spellEnd"/>
            <w:r w:rsidRPr="004229C1">
              <w:rPr>
                <w:rFonts w:ascii="Times New Roman" w:hAnsi="Times New Roman" w:cs="Times New Roman"/>
                <w:kern w:val="0"/>
                <w:sz w:val="22"/>
                <w:szCs w:val="22"/>
                <w:lang w:val="uk-UA"/>
              </w:rPr>
              <w:t xml:space="preserve"> Банку, залучаючи при цьому </w:t>
            </w:r>
            <w:proofErr w:type="spellStart"/>
            <w:r w:rsidRPr="004229C1">
              <w:rPr>
                <w:rFonts w:ascii="Times New Roman" w:hAnsi="Times New Roman" w:cs="Times New Roman"/>
                <w:kern w:val="0"/>
                <w:sz w:val="22"/>
                <w:szCs w:val="22"/>
                <w:lang w:val="uk-UA"/>
              </w:rPr>
              <w:t>внутрiшнiй</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зовнiшнiй</w:t>
            </w:r>
            <w:proofErr w:type="spellEnd"/>
            <w:r w:rsidRPr="004229C1">
              <w:rPr>
                <w:rFonts w:ascii="Times New Roman" w:hAnsi="Times New Roman" w:cs="Times New Roman"/>
                <w:kern w:val="0"/>
                <w:sz w:val="22"/>
                <w:szCs w:val="22"/>
                <w:lang w:val="uk-UA"/>
              </w:rPr>
              <w:t xml:space="preserve"> аудит. Служба </w:t>
            </w:r>
            <w:proofErr w:type="spellStart"/>
            <w:r w:rsidRPr="004229C1">
              <w:rPr>
                <w:rFonts w:ascii="Times New Roman" w:hAnsi="Times New Roman" w:cs="Times New Roman"/>
                <w:kern w:val="0"/>
                <w:sz w:val="22"/>
                <w:szCs w:val="22"/>
                <w:lang w:val="uk-UA"/>
              </w:rPr>
              <w:t>внутрiшнього</w:t>
            </w:r>
            <w:proofErr w:type="spellEnd"/>
            <w:r w:rsidRPr="004229C1">
              <w:rPr>
                <w:rFonts w:ascii="Times New Roman" w:hAnsi="Times New Roman" w:cs="Times New Roman"/>
                <w:kern w:val="0"/>
                <w:sz w:val="22"/>
                <w:szCs w:val="22"/>
                <w:lang w:val="uk-UA"/>
              </w:rPr>
              <w:t xml:space="preserve"> аудиту Банку забезпечує виконання </w:t>
            </w:r>
            <w:proofErr w:type="spellStart"/>
            <w:r w:rsidRPr="004229C1">
              <w:rPr>
                <w:rFonts w:ascii="Times New Roman" w:hAnsi="Times New Roman" w:cs="Times New Roman"/>
                <w:kern w:val="0"/>
                <w:sz w:val="22"/>
                <w:szCs w:val="22"/>
                <w:lang w:val="uk-UA"/>
              </w:rPr>
              <w:t>функцiй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внутрiшнього</w:t>
            </w:r>
            <w:proofErr w:type="spellEnd"/>
            <w:r w:rsidRPr="004229C1">
              <w:rPr>
                <w:rFonts w:ascii="Times New Roman" w:hAnsi="Times New Roman" w:cs="Times New Roman"/>
                <w:kern w:val="0"/>
                <w:sz w:val="22"/>
                <w:szCs w:val="22"/>
                <w:lang w:val="uk-UA"/>
              </w:rPr>
              <w:t xml:space="preserve"> аудиту, проводить </w:t>
            </w:r>
            <w:proofErr w:type="spellStart"/>
            <w:r w:rsidRPr="004229C1">
              <w:rPr>
                <w:rFonts w:ascii="Times New Roman" w:hAnsi="Times New Roman" w:cs="Times New Roman"/>
                <w:kern w:val="0"/>
                <w:sz w:val="22"/>
                <w:szCs w:val="22"/>
                <w:lang w:val="uk-UA"/>
              </w:rPr>
              <w:t>операцiйнi</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фiнансовi</w:t>
            </w:r>
            <w:proofErr w:type="spellEnd"/>
            <w:r w:rsidRPr="004229C1">
              <w:rPr>
                <w:rFonts w:ascii="Times New Roman" w:hAnsi="Times New Roman" w:cs="Times New Roman"/>
                <w:kern w:val="0"/>
                <w:sz w:val="22"/>
                <w:szCs w:val="22"/>
                <w:lang w:val="uk-UA"/>
              </w:rPr>
              <w:t xml:space="preserve"> аудити, IТ аудити, аудити </w:t>
            </w:r>
            <w:proofErr w:type="spellStart"/>
            <w:r w:rsidRPr="004229C1">
              <w:rPr>
                <w:rFonts w:ascii="Times New Roman" w:hAnsi="Times New Roman" w:cs="Times New Roman"/>
                <w:kern w:val="0"/>
                <w:sz w:val="22"/>
                <w:szCs w:val="22"/>
                <w:lang w:val="uk-UA"/>
              </w:rPr>
              <w:t>вiддiлень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раптовi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ревiзiї</w:t>
            </w:r>
            <w:proofErr w:type="spellEnd"/>
            <w:r w:rsidRPr="004229C1">
              <w:rPr>
                <w:rFonts w:ascii="Times New Roman" w:hAnsi="Times New Roman" w:cs="Times New Roman"/>
                <w:kern w:val="0"/>
                <w:sz w:val="22"/>
                <w:szCs w:val="22"/>
                <w:lang w:val="uk-UA"/>
              </w:rPr>
              <w:t xml:space="preserve"> кас/сховищ, тощо. Наглядова рада Банку </w:t>
            </w:r>
            <w:proofErr w:type="spellStart"/>
            <w:r w:rsidRPr="004229C1">
              <w:rPr>
                <w:rFonts w:ascii="Times New Roman" w:hAnsi="Times New Roman" w:cs="Times New Roman"/>
                <w:kern w:val="0"/>
                <w:sz w:val="22"/>
                <w:szCs w:val="22"/>
                <w:lang w:val="uk-UA"/>
              </w:rPr>
              <w:t>вiдповiдає</w:t>
            </w:r>
            <w:proofErr w:type="spellEnd"/>
            <w:r w:rsidRPr="004229C1">
              <w:rPr>
                <w:rFonts w:ascii="Times New Roman" w:hAnsi="Times New Roman" w:cs="Times New Roman"/>
                <w:kern w:val="0"/>
                <w:sz w:val="22"/>
                <w:szCs w:val="22"/>
                <w:lang w:val="uk-UA"/>
              </w:rPr>
              <w:t xml:space="preserve"> за визначення аудиторської </w:t>
            </w:r>
            <w:proofErr w:type="spellStart"/>
            <w:r w:rsidRPr="004229C1">
              <w:rPr>
                <w:rFonts w:ascii="Times New Roman" w:hAnsi="Times New Roman" w:cs="Times New Roman"/>
                <w:kern w:val="0"/>
                <w:sz w:val="22"/>
                <w:szCs w:val="22"/>
                <w:lang w:val="uk-UA"/>
              </w:rPr>
              <w:t>фiрми</w:t>
            </w:r>
            <w:proofErr w:type="spellEnd"/>
            <w:r w:rsidRPr="004229C1">
              <w:rPr>
                <w:rFonts w:ascii="Times New Roman" w:hAnsi="Times New Roman" w:cs="Times New Roman"/>
                <w:kern w:val="0"/>
                <w:sz w:val="22"/>
                <w:szCs w:val="22"/>
                <w:lang w:val="uk-UA"/>
              </w:rPr>
              <w:t xml:space="preserve"> для проведення </w:t>
            </w:r>
            <w:proofErr w:type="spellStart"/>
            <w:r w:rsidRPr="004229C1">
              <w:rPr>
                <w:rFonts w:ascii="Times New Roman" w:hAnsi="Times New Roman" w:cs="Times New Roman"/>
                <w:kern w:val="0"/>
                <w:sz w:val="22"/>
                <w:szCs w:val="22"/>
                <w:lang w:val="uk-UA"/>
              </w:rPr>
              <w:t>зовнiшнього</w:t>
            </w:r>
            <w:proofErr w:type="spellEnd"/>
            <w:r w:rsidRPr="004229C1">
              <w:rPr>
                <w:rFonts w:ascii="Times New Roman" w:hAnsi="Times New Roman" w:cs="Times New Roman"/>
                <w:kern w:val="0"/>
                <w:sz w:val="22"/>
                <w:szCs w:val="22"/>
                <w:lang w:val="uk-UA"/>
              </w:rPr>
              <w:t xml:space="preserve"> аудиту, у тому </w:t>
            </w:r>
            <w:proofErr w:type="spellStart"/>
            <w:r w:rsidRPr="004229C1">
              <w:rPr>
                <w:rFonts w:ascii="Times New Roman" w:hAnsi="Times New Roman" w:cs="Times New Roman"/>
                <w:kern w:val="0"/>
                <w:sz w:val="22"/>
                <w:szCs w:val="22"/>
                <w:lang w:val="uk-UA"/>
              </w:rPr>
              <w:t>числi</w:t>
            </w:r>
            <w:proofErr w:type="spellEnd"/>
            <w:r w:rsidRPr="004229C1">
              <w:rPr>
                <w:rFonts w:ascii="Times New Roman" w:hAnsi="Times New Roman" w:cs="Times New Roman"/>
                <w:kern w:val="0"/>
                <w:sz w:val="22"/>
                <w:szCs w:val="22"/>
                <w:lang w:val="uk-UA"/>
              </w:rPr>
              <w:t xml:space="preserve"> для проведення </w:t>
            </w:r>
            <w:proofErr w:type="spellStart"/>
            <w:r w:rsidRPr="004229C1">
              <w:rPr>
                <w:rFonts w:ascii="Times New Roman" w:hAnsi="Times New Roman" w:cs="Times New Roman"/>
                <w:kern w:val="0"/>
                <w:sz w:val="22"/>
                <w:szCs w:val="22"/>
                <w:lang w:val="uk-UA"/>
              </w:rPr>
              <w:t>щорiчної</w:t>
            </w:r>
            <w:proofErr w:type="spellEnd"/>
            <w:r w:rsidRPr="004229C1">
              <w:rPr>
                <w:rFonts w:ascii="Times New Roman" w:hAnsi="Times New Roman" w:cs="Times New Roman"/>
                <w:kern w:val="0"/>
                <w:sz w:val="22"/>
                <w:szCs w:val="22"/>
                <w:lang w:val="uk-UA"/>
              </w:rPr>
              <w:t xml:space="preserve"> аудиторської </w:t>
            </w:r>
            <w:proofErr w:type="spellStart"/>
            <w:r w:rsidRPr="004229C1">
              <w:rPr>
                <w:rFonts w:ascii="Times New Roman" w:hAnsi="Times New Roman" w:cs="Times New Roman"/>
                <w:kern w:val="0"/>
                <w:sz w:val="22"/>
                <w:szCs w:val="22"/>
                <w:lang w:val="uk-UA"/>
              </w:rPr>
              <w:t>перевiрки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фiнансової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звiтностi</w:t>
            </w:r>
            <w:proofErr w:type="spellEnd"/>
            <w:r w:rsidRPr="004229C1">
              <w:rPr>
                <w:rFonts w:ascii="Times New Roman" w:hAnsi="Times New Roman" w:cs="Times New Roman"/>
                <w:kern w:val="0"/>
                <w:sz w:val="22"/>
                <w:szCs w:val="22"/>
                <w:lang w:val="uk-UA"/>
              </w:rPr>
              <w:t xml:space="preserve">, та затвердження умов договору, що укладатиметься з нею, встановлення </w:t>
            </w:r>
            <w:proofErr w:type="spellStart"/>
            <w:r w:rsidRPr="004229C1">
              <w:rPr>
                <w:rFonts w:ascii="Times New Roman" w:hAnsi="Times New Roman" w:cs="Times New Roman"/>
                <w:kern w:val="0"/>
                <w:sz w:val="22"/>
                <w:szCs w:val="22"/>
                <w:lang w:val="uk-UA"/>
              </w:rPr>
              <w:t>розмiру</w:t>
            </w:r>
            <w:proofErr w:type="spellEnd"/>
            <w:r w:rsidRPr="004229C1">
              <w:rPr>
                <w:rFonts w:ascii="Times New Roman" w:hAnsi="Times New Roman" w:cs="Times New Roman"/>
                <w:kern w:val="0"/>
                <w:sz w:val="22"/>
                <w:szCs w:val="22"/>
                <w:lang w:val="uk-UA"/>
              </w:rPr>
              <w:t xml:space="preserve"> оплати послуг; розгляд висновку </w:t>
            </w:r>
            <w:proofErr w:type="spellStart"/>
            <w:r w:rsidRPr="004229C1">
              <w:rPr>
                <w:rFonts w:ascii="Times New Roman" w:hAnsi="Times New Roman" w:cs="Times New Roman"/>
                <w:kern w:val="0"/>
                <w:sz w:val="22"/>
                <w:szCs w:val="22"/>
                <w:lang w:val="uk-UA"/>
              </w:rPr>
              <w:t>зовнiшнього</w:t>
            </w:r>
            <w:proofErr w:type="spellEnd"/>
            <w:r w:rsidRPr="004229C1">
              <w:rPr>
                <w:rFonts w:ascii="Times New Roman" w:hAnsi="Times New Roman" w:cs="Times New Roman"/>
                <w:kern w:val="0"/>
                <w:sz w:val="22"/>
                <w:szCs w:val="22"/>
                <w:lang w:val="uk-UA"/>
              </w:rPr>
              <w:t xml:space="preserve"> аудиту Банку та </w:t>
            </w:r>
            <w:proofErr w:type="spellStart"/>
            <w:r w:rsidRPr="004229C1">
              <w:rPr>
                <w:rFonts w:ascii="Times New Roman" w:hAnsi="Times New Roman" w:cs="Times New Roman"/>
                <w:kern w:val="0"/>
                <w:sz w:val="22"/>
                <w:szCs w:val="22"/>
                <w:lang w:val="uk-UA"/>
              </w:rPr>
              <w:t>пiдготовка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рекомендацiй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Акцiонеру</w:t>
            </w:r>
            <w:proofErr w:type="spellEnd"/>
            <w:r w:rsidRPr="004229C1">
              <w:rPr>
                <w:rFonts w:ascii="Times New Roman" w:hAnsi="Times New Roman" w:cs="Times New Roman"/>
                <w:kern w:val="0"/>
                <w:sz w:val="22"/>
                <w:szCs w:val="22"/>
                <w:lang w:val="uk-UA"/>
              </w:rPr>
              <w:t xml:space="preserve"> для прийняття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 xml:space="preserve"> щодо нього.</w:t>
            </w:r>
          </w:p>
        </w:tc>
      </w:tr>
      <w:tr w:rsidR="007469BF" w:rsidRPr="004229C1" w14:paraId="472011DB" w14:textId="77777777">
        <w:trPr>
          <w:trHeight w:val="200"/>
        </w:trPr>
        <w:tc>
          <w:tcPr>
            <w:tcW w:w="4000" w:type="dxa"/>
            <w:tcBorders>
              <w:top w:val="single" w:sz="6" w:space="0" w:color="auto"/>
              <w:bottom w:val="single" w:sz="6" w:space="0" w:color="auto"/>
              <w:right w:val="single" w:sz="6" w:space="0" w:color="auto"/>
            </w:tcBorders>
          </w:tcPr>
          <w:p w14:paraId="1E9A6DC5"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Функція комплаєнс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14:paraId="2571D27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1AA500E5"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У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до </w:t>
            </w:r>
            <w:proofErr w:type="spellStart"/>
            <w:r w:rsidRPr="004229C1">
              <w:rPr>
                <w:rFonts w:ascii="Times New Roman" w:hAnsi="Times New Roman" w:cs="Times New Roman"/>
                <w:kern w:val="0"/>
                <w:sz w:val="22"/>
                <w:szCs w:val="22"/>
                <w:lang w:val="uk-UA"/>
              </w:rPr>
              <w:t>органiзацiйної</w:t>
            </w:r>
            <w:proofErr w:type="spellEnd"/>
            <w:r w:rsidRPr="004229C1">
              <w:rPr>
                <w:rFonts w:ascii="Times New Roman" w:hAnsi="Times New Roman" w:cs="Times New Roman"/>
                <w:kern w:val="0"/>
                <w:sz w:val="22"/>
                <w:szCs w:val="22"/>
                <w:lang w:val="uk-UA"/>
              </w:rPr>
              <w:t xml:space="preserve"> структури Банку департамент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та департамент </w:t>
            </w:r>
            <w:proofErr w:type="spellStart"/>
            <w:r w:rsidRPr="004229C1">
              <w:rPr>
                <w:rFonts w:ascii="Times New Roman" w:hAnsi="Times New Roman" w:cs="Times New Roman"/>
                <w:kern w:val="0"/>
                <w:sz w:val="22"/>
                <w:szCs w:val="22"/>
                <w:lang w:val="uk-UA"/>
              </w:rPr>
              <w:t>комплаєнсу</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протидiї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легалiзацiї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доходiв</w:t>
            </w:r>
            <w:proofErr w:type="spellEnd"/>
            <w:r w:rsidRPr="004229C1">
              <w:rPr>
                <w:rFonts w:ascii="Times New Roman" w:hAnsi="Times New Roman" w:cs="Times New Roman"/>
                <w:kern w:val="0"/>
                <w:sz w:val="22"/>
                <w:szCs w:val="22"/>
                <w:lang w:val="uk-UA"/>
              </w:rPr>
              <w:t xml:space="preserve">, отриманих злочинним шляхом </w:t>
            </w:r>
            <w:proofErr w:type="spellStart"/>
            <w:r w:rsidRPr="004229C1">
              <w:rPr>
                <w:rFonts w:ascii="Times New Roman" w:hAnsi="Times New Roman" w:cs="Times New Roman"/>
                <w:kern w:val="0"/>
                <w:sz w:val="22"/>
                <w:szCs w:val="22"/>
                <w:lang w:val="uk-UA"/>
              </w:rPr>
              <w:t>пiдзвiтнi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Наглядовiй</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Радi</w:t>
            </w:r>
            <w:proofErr w:type="spellEnd"/>
          </w:p>
        </w:tc>
      </w:tr>
      <w:tr w:rsidR="007469BF" w:rsidRPr="004229C1" w14:paraId="14CCFC40" w14:textId="77777777">
        <w:trPr>
          <w:trHeight w:val="200"/>
        </w:trPr>
        <w:tc>
          <w:tcPr>
            <w:tcW w:w="4000" w:type="dxa"/>
            <w:tcBorders>
              <w:top w:val="single" w:sz="6" w:space="0" w:color="auto"/>
              <w:bottom w:val="single" w:sz="6" w:space="0" w:color="auto"/>
              <w:right w:val="single" w:sz="6" w:space="0" w:color="auto"/>
            </w:tcBorders>
          </w:tcPr>
          <w:p w14:paraId="3459CF0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746842E4"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5EDB0EA0" w14:textId="6E3AC52C"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Стратегiя</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полiтика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АТ "ПРАВЕКС БАНК", затверджена </w:t>
            </w:r>
            <w:proofErr w:type="spellStart"/>
            <w:r w:rsidRPr="004229C1">
              <w:rPr>
                <w:rFonts w:ascii="Times New Roman" w:hAnsi="Times New Roman" w:cs="Times New Roman"/>
                <w:kern w:val="0"/>
                <w:sz w:val="22"/>
                <w:szCs w:val="22"/>
                <w:lang w:val="uk-UA"/>
              </w:rPr>
              <w:t>рiшенням</w:t>
            </w:r>
            <w:proofErr w:type="spellEnd"/>
            <w:r w:rsidRPr="004229C1">
              <w:rPr>
                <w:rFonts w:ascii="Times New Roman" w:hAnsi="Times New Roman" w:cs="Times New Roman"/>
                <w:kern w:val="0"/>
                <w:sz w:val="22"/>
                <w:szCs w:val="22"/>
                <w:lang w:val="uk-UA"/>
              </w:rPr>
              <w:t xml:space="preserve"> Наглядової Ради </w:t>
            </w:r>
            <w:proofErr w:type="spellStart"/>
            <w:r w:rsidRPr="004229C1">
              <w:rPr>
                <w:rFonts w:ascii="Times New Roman" w:hAnsi="Times New Roman" w:cs="Times New Roman"/>
                <w:kern w:val="0"/>
                <w:sz w:val="22"/>
                <w:szCs w:val="22"/>
                <w:lang w:val="uk-UA"/>
              </w:rPr>
              <w:t>згiдно</w:t>
            </w:r>
            <w:proofErr w:type="spellEnd"/>
            <w:r w:rsidRPr="004229C1">
              <w:rPr>
                <w:rFonts w:ascii="Times New Roman" w:hAnsi="Times New Roman" w:cs="Times New Roman"/>
                <w:kern w:val="0"/>
                <w:sz w:val="22"/>
                <w:szCs w:val="22"/>
                <w:lang w:val="uk-UA"/>
              </w:rPr>
              <w:t xml:space="preserve"> з </w:t>
            </w:r>
            <w:r w:rsidR="008D4C2F" w:rsidRPr="004229C1">
              <w:rPr>
                <w:rFonts w:ascii="Times New Roman" w:hAnsi="Times New Roman" w:cs="Times New Roman"/>
                <w:kern w:val="0"/>
                <w:sz w:val="22"/>
                <w:szCs w:val="22"/>
                <w:lang w:val="uk-UA"/>
              </w:rPr>
              <w:t>Протоколом № 13_24 від 28.05.2024, питання 1.1. порядку денного</w:t>
            </w:r>
          </w:p>
        </w:tc>
      </w:tr>
      <w:tr w:rsidR="007469BF" w:rsidRPr="004229C1" w14:paraId="416EF863" w14:textId="77777777">
        <w:trPr>
          <w:trHeight w:val="200"/>
        </w:trPr>
        <w:tc>
          <w:tcPr>
            <w:tcW w:w="4000" w:type="dxa"/>
            <w:tcBorders>
              <w:top w:val="single" w:sz="6" w:space="0" w:color="auto"/>
              <w:bottom w:val="single" w:sz="6" w:space="0" w:color="auto"/>
              <w:right w:val="single" w:sz="6" w:space="0" w:color="auto"/>
            </w:tcBorders>
          </w:tcPr>
          <w:p w14:paraId="16F5DAD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14:paraId="70D9882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644836E6" w14:textId="24E544A2"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Декларацiя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схильностi</w:t>
            </w:r>
            <w:proofErr w:type="spellEnd"/>
            <w:r w:rsidRPr="004229C1">
              <w:rPr>
                <w:rFonts w:ascii="Times New Roman" w:hAnsi="Times New Roman" w:cs="Times New Roman"/>
                <w:kern w:val="0"/>
                <w:sz w:val="22"/>
                <w:szCs w:val="22"/>
                <w:lang w:val="uk-UA"/>
              </w:rPr>
              <w:t xml:space="preserve"> до </w:t>
            </w:r>
            <w:proofErr w:type="spellStart"/>
            <w:r w:rsidRPr="004229C1">
              <w:rPr>
                <w:rFonts w:ascii="Times New Roman" w:hAnsi="Times New Roman" w:cs="Times New Roman"/>
                <w:kern w:val="0"/>
                <w:sz w:val="22"/>
                <w:szCs w:val="22"/>
                <w:lang w:val="uk-UA"/>
              </w:rPr>
              <w:t>ризикiв</w:t>
            </w:r>
            <w:proofErr w:type="spellEnd"/>
            <w:r w:rsidRPr="004229C1">
              <w:rPr>
                <w:rFonts w:ascii="Times New Roman" w:hAnsi="Times New Roman" w:cs="Times New Roman"/>
                <w:kern w:val="0"/>
                <w:sz w:val="22"/>
                <w:szCs w:val="22"/>
                <w:lang w:val="uk-UA"/>
              </w:rPr>
              <w:t xml:space="preserve"> АТ "ПРАВЕКС БАНК", затверджено Наглядовою Радою</w:t>
            </w:r>
            <w:r w:rsidR="00A31256" w:rsidRPr="004229C1">
              <w:rPr>
                <w:rFonts w:ascii="Times New Roman" w:hAnsi="Times New Roman" w:cs="Times New Roman"/>
                <w:kern w:val="0"/>
                <w:sz w:val="22"/>
                <w:szCs w:val="22"/>
                <w:lang w:val="uk-UA"/>
              </w:rPr>
              <w:t xml:space="preserve">, </w:t>
            </w:r>
            <w:r w:rsidR="008D4C2F" w:rsidRPr="004229C1">
              <w:rPr>
                <w:rFonts w:ascii="Times New Roman" w:hAnsi="Times New Roman" w:cs="Times New Roman"/>
                <w:kern w:val="0"/>
                <w:sz w:val="22"/>
                <w:szCs w:val="22"/>
                <w:lang w:val="uk-UA"/>
              </w:rPr>
              <w:t>Протокол № 13_24 від 28.05.2024, питання 1.2. порядку денного</w:t>
            </w:r>
          </w:p>
        </w:tc>
      </w:tr>
      <w:tr w:rsidR="007469BF" w:rsidRPr="004229C1" w14:paraId="60BC576F" w14:textId="77777777">
        <w:trPr>
          <w:trHeight w:val="200"/>
        </w:trPr>
        <w:tc>
          <w:tcPr>
            <w:tcW w:w="4000" w:type="dxa"/>
            <w:tcBorders>
              <w:top w:val="single" w:sz="6" w:space="0" w:color="auto"/>
              <w:bottom w:val="single" w:sz="6" w:space="0" w:color="auto"/>
              <w:right w:val="single" w:sz="6" w:space="0" w:color="auto"/>
            </w:tcBorders>
          </w:tcPr>
          <w:p w14:paraId="593BB7D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6308B70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06368E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Наглядова Рада щоквартально розглядає </w:t>
            </w:r>
            <w:proofErr w:type="spellStart"/>
            <w:r w:rsidRPr="004229C1">
              <w:rPr>
                <w:rFonts w:ascii="Times New Roman" w:hAnsi="Times New Roman" w:cs="Times New Roman"/>
                <w:kern w:val="0"/>
                <w:sz w:val="22"/>
                <w:szCs w:val="22"/>
                <w:lang w:val="uk-UA"/>
              </w:rPr>
              <w:t>звiт</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ризиками у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до вимог законодавства.</w:t>
            </w:r>
          </w:p>
        </w:tc>
      </w:tr>
      <w:tr w:rsidR="007469BF" w:rsidRPr="004229C1" w14:paraId="0F7542B0" w14:textId="77777777">
        <w:trPr>
          <w:trHeight w:val="200"/>
        </w:trPr>
        <w:tc>
          <w:tcPr>
            <w:tcW w:w="4000" w:type="dxa"/>
            <w:tcBorders>
              <w:top w:val="single" w:sz="6" w:space="0" w:color="auto"/>
              <w:bottom w:val="single" w:sz="6" w:space="0" w:color="auto"/>
              <w:right w:val="single" w:sz="6" w:space="0" w:color="auto"/>
            </w:tcBorders>
          </w:tcPr>
          <w:p w14:paraId="34731E4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14:paraId="3F5D8BA5"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02C30A78" w14:textId="4A81605A"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Кодекс</w:t>
            </w:r>
            <w:r w:rsidR="008D4C2F" w:rsidRPr="004229C1">
              <w:rPr>
                <w:rFonts w:ascii="Times New Roman" w:hAnsi="Times New Roman" w:cs="Times New Roman"/>
                <w:kern w:val="0"/>
                <w:sz w:val="22"/>
                <w:szCs w:val="22"/>
                <w:lang w:val="uk-UA"/>
              </w:rPr>
              <w:t xml:space="preserve"> етики</w:t>
            </w:r>
            <w:r w:rsidRPr="004229C1">
              <w:rPr>
                <w:rFonts w:ascii="Times New Roman" w:hAnsi="Times New Roman" w:cs="Times New Roman"/>
                <w:kern w:val="0"/>
                <w:sz w:val="22"/>
                <w:szCs w:val="22"/>
                <w:lang w:val="uk-UA"/>
              </w:rPr>
              <w:t xml:space="preserve"> АТ "ПРАВЕКС БАНК", затверджений  Наглядовою Радою, </w:t>
            </w:r>
            <w:proofErr w:type="spellStart"/>
            <w:r w:rsidRPr="004229C1">
              <w:rPr>
                <w:rFonts w:ascii="Times New Roman" w:hAnsi="Times New Roman" w:cs="Times New Roman"/>
                <w:kern w:val="0"/>
                <w:sz w:val="22"/>
                <w:szCs w:val="22"/>
                <w:lang w:val="uk-UA"/>
              </w:rPr>
              <w:t>згiдно</w:t>
            </w:r>
            <w:proofErr w:type="spellEnd"/>
            <w:r w:rsidRPr="004229C1">
              <w:rPr>
                <w:rFonts w:ascii="Times New Roman" w:hAnsi="Times New Roman" w:cs="Times New Roman"/>
                <w:kern w:val="0"/>
                <w:sz w:val="22"/>
                <w:szCs w:val="22"/>
                <w:lang w:val="uk-UA"/>
              </w:rPr>
              <w:t xml:space="preserve"> з </w:t>
            </w:r>
            <w:r w:rsidR="008D4C2F" w:rsidRPr="004229C1">
              <w:rPr>
                <w:rFonts w:ascii="Times New Roman" w:hAnsi="Times New Roman" w:cs="Times New Roman"/>
                <w:kern w:val="0"/>
                <w:sz w:val="22"/>
                <w:szCs w:val="22"/>
                <w:lang w:val="uk-UA"/>
              </w:rPr>
              <w:t>Протоколом №11_24 від 24.04.2024, питання 14 порядку денного</w:t>
            </w:r>
          </w:p>
        </w:tc>
      </w:tr>
      <w:tr w:rsidR="007469BF" w:rsidRPr="004229C1" w14:paraId="13C931FC" w14:textId="77777777">
        <w:trPr>
          <w:trHeight w:val="200"/>
        </w:trPr>
        <w:tc>
          <w:tcPr>
            <w:tcW w:w="4000" w:type="dxa"/>
            <w:tcBorders>
              <w:top w:val="single" w:sz="6" w:space="0" w:color="auto"/>
              <w:bottom w:val="single" w:sz="6" w:space="0" w:color="auto"/>
              <w:right w:val="single" w:sz="6" w:space="0" w:color="auto"/>
            </w:tcBorders>
          </w:tcPr>
          <w:p w14:paraId="208C0A0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14:paraId="376A2A0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7EDA325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Звiти</w:t>
            </w:r>
            <w:proofErr w:type="spellEnd"/>
            <w:r w:rsidRPr="004229C1">
              <w:rPr>
                <w:rFonts w:ascii="Times New Roman" w:hAnsi="Times New Roman" w:cs="Times New Roman"/>
                <w:kern w:val="0"/>
                <w:sz w:val="22"/>
                <w:szCs w:val="22"/>
                <w:lang w:val="uk-UA"/>
              </w:rPr>
              <w:t xml:space="preserve"> про випадки порушення Кодексу </w:t>
            </w:r>
            <w:proofErr w:type="spellStart"/>
            <w:r w:rsidRPr="004229C1">
              <w:rPr>
                <w:rFonts w:ascii="Times New Roman" w:hAnsi="Times New Roman" w:cs="Times New Roman"/>
                <w:kern w:val="0"/>
                <w:sz w:val="22"/>
                <w:szCs w:val="22"/>
                <w:lang w:val="uk-UA"/>
              </w:rPr>
              <w:t>повиннi</w:t>
            </w:r>
            <w:proofErr w:type="spellEnd"/>
            <w:r w:rsidRPr="004229C1">
              <w:rPr>
                <w:rFonts w:ascii="Times New Roman" w:hAnsi="Times New Roman" w:cs="Times New Roman"/>
                <w:kern w:val="0"/>
                <w:sz w:val="22"/>
                <w:szCs w:val="22"/>
                <w:lang w:val="uk-UA"/>
              </w:rPr>
              <w:t xml:space="preserve"> надсилатися на електронну адресу ethic.code@pravex.ua. Банк гарантує, що до особи, яка з добрими </w:t>
            </w:r>
            <w:proofErr w:type="spellStart"/>
            <w:r w:rsidRPr="004229C1">
              <w:rPr>
                <w:rFonts w:ascii="Times New Roman" w:hAnsi="Times New Roman" w:cs="Times New Roman"/>
                <w:kern w:val="0"/>
                <w:sz w:val="22"/>
                <w:szCs w:val="22"/>
                <w:lang w:val="uk-UA"/>
              </w:rPr>
              <w:t>намiрами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повiдомила</w:t>
            </w:r>
            <w:proofErr w:type="spellEnd"/>
            <w:r w:rsidRPr="004229C1">
              <w:rPr>
                <w:rFonts w:ascii="Times New Roman" w:hAnsi="Times New Roman" w:cs="Times New Roman"/>
                <w:kern w:val="0"/>
                <w:sz w:val="22"/>
                <w:szCs w:val="22"/>
                <w:lang w:val="uk-UA"/>
              </w:rPr>
              <w:t xml:space="preserve"> про випадки порушень, не застосовуватимуться </w:t>
            </w:r>
            <w:proofErr w:type="spellStart"/>
            <w:r w:rsidRPr="004229C1">
              <w:rPr>
                <w:rFonts w:ascii="Times New Roman" w:hAnsi="Times New Roman" w:cs="Times New Roman"/>
                <w:kern w:val="0"/>
                <w:sz w:val="22"/>
                <w:szCs w:val="22"/>
                <w:lang w:val="uk-UA"/>
              </w:rPr>
              <w:t>жоднi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зустрiчнi</w:t>
            </w:r>
            <w:proofErr w:type="spellEnd"/>
            <w:r w:rsidRPr="004229C1">
              <w:rPr>
                <w:rFonts w:ascii="Times New Roman" w:hAnsi="Times New Roman" w:cs="Times New Roman"/>
                <w:kern w:val="0"/>
                <w:sz w:val="22"/>
                <w:szCs w:val="22"/>
                <w:lang w:val="uk-UA"/>
              </w:rPr>
              <w:t xml:space="preserve"> позови, а також будь-</w:t>
            </w:r>
            <w:proofErr w:type="spellStart"/>
            <w:r w:rsidRPr="004229C1">
              <w:rPr>
                <w:rFonts w:ascii="Times New Roman" w:hAnsi="Times New Roman" w:cs="Times New Roman"/>
                <w:kern w:val="0"/>
                <w:sz w:val="22"/>
                <w:szCs w:val="22"/>
                <w:lang w:val="uk-UA"/>
              </w:rPr>
              <w:t>якi</w:t>
            </w:r>
            <w:proofErr w:type="spellEnd"/>
            <w:r w:rsidRPr="004229C1">
              <w:rPr>
                <w:rFonts w:ascii="Times New Roman" w:hAnsi="Times New Roman" w:cs="Times New Roman"/>
                <w:kern w:val="0"/>
                <w:sz w:val="22"/>
                <w:szCs w:val="22"/>
                <w:lang w:val="uk-UA"/>
              </w:rPr>
              <w:t xml:space="preserve"> форми </w:t>
            </w:r>
            <w:proofErr w:type="spellStart"/>
            <w:r w:rsidRPr="004229C1">
              <w:rPr>
                <w:rFonts w:ascii="Times New Roman" w:hAnsi="Times New Roman" w:cs="Times New Roman"/>
                <w:kern w:val="0"/>
                <w:sz w:val="22"/>
                <w:szCs w:val="22"/>
                <w:lang w:val="uk-UA"/>
              </w:rPr>
              <w:t>дискримiнацiї</w:t>
            </w:r>
            <w:proofErr w:type="spellEnd"/>
            <w:r w:rsidRPr="004229C1">
              <w:rPr>
                <w:rFonts w:ascii="Times New Roman" w:hAnsi="Times New Roman" w:cs="Times New Roman"/>
                <w:kern w:val="0"/>
                <w:sz w:val="22"/>
                <w:szCs w:val="22"/>
                <w:lang w:val="uk-UA"/>
              </w:rPr>
              <w:t xml:space="preserve"> або покарання, та зобов'язується забезпечити максимальну </w:t>
            </w:r>
            <w:proofErr w:type="spellStart"/>
            <w:r w:rsidRPr="004229C1">
              <w:rPr>
                <w:rFonts w:ascii="Times New Roman" w:hAnsi="Times New Roman" w:cs="Times New Roman"/>
                <w:kern w:val="0"/>
                <w:sz w:val="22"/>
                <w:szCs w:val="22"/>
                <w:lang w:val="uk-UA"/>
              </w:rPr>
              <w:t>конфiденцiйнiсть</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крiм</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випадкiв</w:t>
            </w:r>
            <w:proofErr w:type="spellEnd"/>
            <w:r w:rsidRPr="004229C1">
              <w:rPr>
                <w:rFonts w:ascii="Times New Roman" w:hAnsi="Times New Roman" w:cs="Times New Roman"/>
                <w:kern w:val="0"/>
                <w:sz w:val="22"/>
                <w:szCs w:val="22"/>
                <w:lang w:val="uk-UA"/>
              </w:rPr>
              <w:t xml:space="preserve">, передбачених вимогами </w:t>
            </w:r>
            <w:proofErr w:type="spellStart"/>
            <w:r w:rsidRPr="004229C1">
              <w:rPr>
                <w:rFonts w:ascii="Times New Roman" w:hAnsi="Times New Roman" w:cs="Times New Roman"/>
                <w:kern w:val="0"/>
                <w:sz w:val="22"/>
                <w:szCs w:val="22"/>
                <w:lang w:val="uk-UA"/>
              </w:rPr>
              <w:t>дiючого</w:t>
            </w:r>
            <w:proofErr w:type="spellEnd"/>
            <w:r w:rsidRPr="004229C1">
              <w:rPr>
                <w:rFonts w:ascii="Times New Roman" w:hAnsi="Times New Roman" w:cs="Times New Roman"/>
                <w:kern w:val="0"/>
                <w:sz w:val="22"/>
                <w:szCs w:val="22"/>
                <w:lang w:val="uk-UA"/>
              </w:rPr>
              <w:t xml:space="preserve"> законодавства.</w:t>
            </w:r>
          </w:p>
        </w:tc>
      </w:tr>
      <w:tr w:rsidR="007469BF" w:rsidRPr="004229C1" w14:paraId="5B4AA762" w14:textId="77777777">
        <w:trPr>
          <w:trHeight w:val="200"/>
        </w:trPr>
        <w:tc>
          <w:tcPr>
            <w:tcW w:w="4000" w:type="dxa"/>
            <w:tcBorders>
              <w:top w:val="single" w:sz="6" w:space="0" w:color="auto"/>
              <w:bottom w:val="single" w:sz="6" w:space="0" w:color="auto"/>
              <w:right w:val="single" w:sz="6" w:space="0" w:color="auto"/>
            </w:tcBorders>
          </w:tcPr>
          <w:p w14:paraId="288F3B08"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14:paraId="19D87B6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2101C0B5" w14:textId="0E5BF752"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Полiтика</w:t>
            </w:r>
            <w:proofErr w:type="spellEnd"/>
            <w:r w:rsidRPr="004229C1">
              <w:rPr>
                <w:rFonts w:ascii="Times New Roman" w:hAnsi="Times New Roman" w:cs="Times New Roman"/>
                <w:kern w:val="0"/>
                <w:sz w:val="22"/>
                <w:szCs w:val="22"/>
                <w:lang w:val="uk-UA"/>
              </w:rPr>
              <w:t xml:space="preserve"> АТ "ПРАВЕКС БАНК" щодо </w:t>
            </w:r>
            <w:proofErr w:type="spellStart"/>
            <w:r w:rsidRPr="004229C1">
              <w:rPr>
                <w:rFonts w:ascii="Times New Roman" w:hAnsi="Times New Roman" w:cs="Times New Roman"/>
                <w:kern w:val="0"/>
                <w:sz w:val="22"/>
                <w:szCs w:val="22"/>
                <w:lang w:val="uk-UA"/>
              </w:rPr>
              <w:t>запобiгання</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протидiї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корупцiї</w:t>
            </w:r>
            <w:proofErr w:type="spellEnd"/>
            <w:r w:rsidRPr="004229C1">
              <w:rPr>
                <w:rFonts w:ascii="Times New Roman" w:hAnsi="Times New Roman" w:cs="Times New Roman"/>
                <w:kern w:val="0"/>
                <w:sz w:val="22"/>
                <w:szCs w:val="22"/>
                <w:lang w:val="uk-UA"/>
              </w:rPr>
              <w:t>, затверджено Наглядовою Радою</w:t>
            </w:r>
            <w:r w:rsidR="008D4C2F"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 xml:space="preserve"> </w:t>
            </w:r>
            <w:r w:rsidR="008D4C2F" w:rsidRPr="004229C1">
              <w:rPr>
                <w:rFonts w:ascii="Times New Roman" w:hAnsi="Times New Roman" w:cs="Times New Roman"/>
                <w:kern w:val="0"/>
                <w:sz w:val="22"/>
                <w:szCs w:val="22"/>
                <w:lang w:val="uk-UA"/>
              </w:rPr>
              <w:t>Протокол № 4_24 від 19.02.2024, питання 16 Порядку денного</w:t>
            </w:r>
          </w:p>
        </w:tc>
      </w:tr>
      <w:tr w:rsidR="007469BF" w:rsidRPr="004229C1" w14:paraId="3C38C3CB" w14:textId="77777777">
        <w:trPr>
          <w:trHeight w:val="200"/>
        </w:trPr>
        <w:tc>
          <w:tcPr>
            <w:tcW w:w="4000" w:type="dxa"/>
            <w:tcBorders>
              <w:top w:val="single" w:sz="6" w:space="0" w:color="auto"/>
              <w:bottom w:val="single" w:sz="6" w:space="0" w:color="auto"/>
              <w:right w:val="single" w:sz="6" w:space="0" w:color="auto"/>
            </w:tcBorders>
          </w:tcPr>
          <w:p w14:paraId="5A044D5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затверджено та оприлюднено політику щодо конфлікту інтересів, яка покриває такі питання:</w:t>
            </w:r>
          </w:p>
          <w:p w14:paraId="7216F9C9"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a) конфлікту інтересів, запобігання і управління конфліктом інтересів;</w:t>
            </w:r>
          </w:p>
          <w:p w14:paraId="76797A4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б) правочинів із заінтересованістю;</w:t>
            </w:r>
          </w:p>
          <w:p w14:paraId="2D558D34"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 </w:t>
            </w:r>
            <w:proofErr w:type="spellStart"/>
            <w:r w:rsidRPr="004229C1">
              <w:rPr>
                <w:rFonts w:ascii="Times New Roman" w:hAnsi="Times New Roman" w:cs="Times New Roman"/>
                <w:kern w:val="0"/>
                <w:sz w:val="22"/>
                <w:szCs w:val="22"/>
                <w:lang w:val="uk-UA"/>
              </w:rPr>
              <w:t>інсайдерської</w:t>
            </w:r>
            <w:proofErr w:type="spellEnd"/>
            <w:r w:rsidRPr="004229C1">
              <w:rPr>
                <w:rFonts w:ascii="Times New Roman" w:hAnsi="Times New Roman" w:cs="Times New Roman"/>
                <w:kern w:val="0"/>
                <w:sz w:val="22"/>
                <w:szCs w:val="22"/>
                <w:lang w:val="uk-UA"/>
              </w:rPr>
              <w:t xml:space="preserve"> торгівлі; та</w:t>
            </w:r>
          </w:p>
          <w:p w14:paraId="4616C46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14:paraId="72798C5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3C08E4A8"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Полiтика</w:t>
            </w:r>
            <w:proofErr w:type="spellEnd"/>
            <w:r w:rsidRPr="004229C1">
              <w:rPr>
                <w:rFonts w:ascii="Times New Roman" w:hAnsi="Times New Roman" w:cs="Times New Roman"/>
                <w:kern w:val="0"/>
                <w:sz w:val="22"/>
                <w:szCs w:val="22"/>
                <w:lang w:val="uk-UA"/>
              </w:rPr>
              <w:t xml:space="preserve"> щодо виявлення </w:t>
            </w:r>
            <w:proofErr w:type="spellStart"/>
            <w:r w:rsidRPr="004229C1">
              <w:rPr>
                <w:rFonts w:ascii="Times New Roman" w:hAnsi="Times New Roman" w:cs="Times New Roman"/>
                <w:kern w:val="0"/>
                <w:sz w:val="22"/>
                <w:szCs w:val="22"/>
                <w:lang w:val="uk-UA"/>
              </w:rPr>
              <w:t>конфлiкту</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iнтересiв</w:t>
            </w:r>
            <w:proofErr w:type="spellEnd"/>
            <w:r w:rsidRPr="004229C1">
              <w:rPr>
                <w:rFonts w:ascii="Times New Roman" w:hAnsi="Times New Roman" w:cs="Times New Roman"/>
                <w:kern w:val="0"/>
                <w:sz w:val="22"/>
                <w:szCs w:val="22"/>
                <w:lang w:val="uk-UA"/>
              </w:rPr>
              <w:t xml:space="preserve"> та процедури по його </w:t>
            </w:r>
            <w:proofErr w:type="spellStart"/>
            <w:r w:rsidRPr="004229C1">
              <w:rPr>
                <w:rFonts w:ascii="Times New Roman" w:hAnsi="Times New Roman" w:cs="Times New Roman"/>
                <w:kern w:val="0"/>
                <w:sz w:val="22"/>
                <w:szCs w:val="22"/>
                <w:lang w:val="uk-UA"/>
              </w:rPr>
              <w:t>управлiнню</w:t>
            </w:r>
            <w:proofErr w:type="spellEnd"/>
            <w:r w:rsidRPr="004229C1">
              <w:rPr>
                <w:rFonts w:ascii="Times New Roman" w:hAnsi="Times New Roman" w:cs="Times New Roman"/>
                <w:kern w:val="0"/>
                <w:sz w:val="22"/>
                <w:szCs w:val="22"/>
                <w:lang w:val="uk-UA"/>
              </w:rPr>
              <w:t xml:space="preserve"> АТ "ПРАВЕКС БАНК",  затверджено Наглядовою Радою </w:t>
            </w:r>
            <w:proofErr w:type="spellStart"/>
            <w:r w:rsidRPr="004229C1">
              <w:rPr>
                <w:rFonts w:ascii="Times New Roman" w:hAnsi="Times New Roman" w:cs="Times New Roman"/>
                <w:kern w:val="0"/>
                <w:sz w:val="22"/>
                <w:szCs w:val="22"/>
                <w:lang w:val="uk-UA"/>
              </w:rPr>
              <w:t>вiд</w:t>
            </w:r>
            <w:proofErr w:type="spellEnd"/>
            <w:r w:rsidRPr="004229C1">
              <w:rPr>
                <w:rFonts w:ascii="Times New Roman" w:hAnsi="Times New Roman" w:cs="Times New Roman"/>
                <w:kern w:val="0"/>
                <w:sz w:val="22"/>
                <w:szCs w:val="22"/>
                <w:lang w:val="uk-UA"/>
              </w:rPr>
              <w:t xml:space="preserve"> 22.12.2022, Протокол № 18_22 питання 13 Порядку денного </w:t>
            </w:r>
          </w:p>
        </w:tc>
      </w:tr>
      <w:tr w:rsidR="007469BF" w:rsidRPr="004229C1" w14:paraId="12B8A2A4" w14:textId="77777777">
        <w:trPr>
          <w:trHeight w:val="200"/>
        </w:trPr>
        <w:tc>
          <w:tcPr>
            <w:tcW w:w="10000" w:type="dxa"/>
            <w:gridSpan w:val="3"/>
            <w:tcBorders>
              <w:top w:val="single" w:sz="6" w:space="0" w:color="auto"/>
              <w:bottom w:val="single" w:sz="6" w:space="0" w:color="auto"/>
            </w:tcBorders>
          </w:tcPr>
          <w:p w14:paraId="68BC1684"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sz w:val="22"/>
                <w:szCs w:val="22"/>
                <w:lang w:val="uk-UA"/>
              </w:rPr>
            </w:pPr>
            <w:r w:rsidRPr="004229C1">
              <w:rPr>
                <w:rFonts w:ascii="Times New Roman" w:hAnsi="Times New Roman" w:cs="Times New Roman"/>
                <w:b/>
                <w:bCs/>
                <w:kern w:val="0"/>
                <w:sz w:val="22"/>
                <w:szCs w:val="22"/>
                <w:lang w:val="uk-UA"/>
              </w:rPr>
              <w:t>9. Оцінка корпоративного управління</w:t>
            </w:r>
          </w:p>
        </w:tc>
      </w:tr>
      <w:tr w:rsidR="007469BF" w:rsidRPr="004229C1" w14:paraId="14196874" w14:textId="77777777">
        <w:trPr>
          <w:trHeight w:val="200"/>
        </w:trPr>
        <w:tc>
          <w:tcPr>
            <w:tcW w:w="4000" w:type="dxa"/>
            <w:tcBorders>
              <w:top w:val="single" w:sz="6" w:space="0" w:color="auto"/>
              <w:bottom w:val="single" w:sz="6" w:space="0" w:color="auto"/>
              <w:right w:val="single" w:sz="6" w:space="0" w:color="auto"/>
            </w:tcBorders>
          </w:tcPr>
          <w:p w14:paraId="50443B8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14:paraId="64AB9A1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2643DA46"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Проведення </w:t>
            </w:r>
            <w:proofErr w:type="spellStart"/>
            <w:r w:rsidRPr="004229C1">
              <w:rPr>
                <w:rFonts w:ascii="Times New Roman" w:hAnsi="Times New Roman" w:cs="Times New Roman"/>
                <w:kern w:val="0"/>
                <w:sz w:val="22"/>
                <w:szCs w:val="22"/>
                <w:lang w:val="uk-UA"/>
              </w:rPr>
              <w:t>щорiчної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самооцiнки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передбачено Процедурою щодо </w:t>
            </w:r>
            <w:proofErr w:type="spellStart"/>
            <w:r w:rsidRPr="004229C1">
              <w:rPr>
                <w:rFonts w:ascii="Times New Roman" w:hAnsi="Times New Roman" w:cs="Times New Roman"/>
                <w:kern w:val="0"/>
                <w:sz w:val="22"/>
                <w:szCs w:val="22"/>
                <w:lang w:val="uk-UA"/>
              </w:rPr>
              <w:t>вiдповiдностi</w:t>
            </w:r>
            <w:proofErr w:type="spellEnd"/>
            <w:r w:rsidRPr="004229C1">
              <w:rPr>
                <w:rFonts w:ascii="Times New Roman" w:hAnsi="Times New Roman" w:cs="Times New Roman"/>
                <w:kern w:val="0"/>
                <w:sz w:val="22"/>
                <w:szCs w:val="22"/>
                <w:lang w:val="uk-UA"/>
              </w:rPr>
              <w:t xml:space="preserve"> вимогам </w:t>
            </w:r>
            <w:proofErr w:type="spellStart"/>
            <w:r w:rsidRPr="004229C1">
              <w:rPr>
                <w:rFonts w:ascii="Times New Roman" w:hAnsi="Times New Roman" w:cs="Times New Roman"/>
                <w:kern w:val="0"/>
                <w:sz w:val="22"/>
                <w:szCs w:val="22"/>
                <w:lang w:val="uk-UA"/>
              </w:rPr>
              <w:t>членiв</w:t>
            </w:r>
            <w:proofErr w:type="spellEnd"/>
            <w:r w:rsidRPr="004229C1">
              <w:rPr>
                <w:rFonts w:ascii="Times New Roman" w:hAnsi="Times New Roman" w:cs="Times New Roman"/>
                <w:kern w:val="0"/>
                <w:sz w:val="22"/>
                <w:szCs w:val="22"/>
                <w:lang w:val="uk-UA"/>
              </w:rPr>
              <w:t xml:space="preserve"> Наглядової Ради та </w:t>
            </w:r>
            <w:proofErr w:type="spellStart"/>
            <w:r w:rsidRPr="004229C1">
              <w:rPr>
                <w:rFonts w:ascii="Times New Roman" w:hAnsi="Times New Roman" w:cs="Times New Roman"/>
                <w:kern w:val="0"/>
                <w:sz w:val="22"/>
                <w:szCs w:val="22"/>
                <w:lang w:val="uk-UA"/>
              </w:rPr>
              <w:t>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iнших</w:t>
            </w:r>
            <w:proofErr w:type="spellEnd"/>
            <w:r w:rsidRPr="004229C1">
              <w:rPr>
                <w:rFonts w:ascii="Times New Roman" w:hAnsi="Times New Roman" w:cs="Times New Roman"/>
                <w:kern w:val="0"/>
                <w:sz w:val="22"/>
                <w:szCs w:val="22"/>
                <w:lang w:val="uk-UA"/>
              </w:rPr>
              <w:t xml:space="preserve"> посадових </w:t>
            </w:r>
            <w:proofErr w:type="spellStart"/>
            <w:r w:rsidRPr="004229C1">
              <w:rPr>
                <w:rFonts w:ascii="Times New Roman" w:hAnsi="Times New Roman" w:cs="Times New Roman"/>
                <w:kern w:val="0"/>
                <w:sz w:val="22"/>
                <w:szCs w:val="22"/>
                <w:lang w:val="uk-UA"/>
              </w:rPr>
              <w:t>осiб</w:t>
            </w:r>
            <w:proofErr w:type="spellEnd"/>
            <w:r w:rsidRPr="004229C1">
              <w:rPr>
                <w:rFonts w:ascii="Times New Roman" w:hAnsi="Times New Roman" w:cs="Times New Roman"/>
                <w:kern w:val="0"/>
                <w:sz w:val="22"/>
                <w:szCs w:val="22"/>
                <w:lang w:val="uk-UA"/>
              </w:rPr>
              <w:t xml:space="preserve"> та </w:t>
            </w:r>
            <w:proofErr w:type="spellStart"/>
            <w:r w:rsidRPr="004229C1">
              <w:rPr>
                <w:rFonts w:ascii="Times New Roman" w:hAnsi="Times New Roman" w:cs="Times New Roman"/>
                <w:kern w:val="0"/>
                <w:sz w:val="22"/>
                <w:szCs w:val="22"/>
                <w:lang w:val="uk-UA"/>
              </w:rPr>
              <w:t>керiвникiв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пiдроздiлiв</w:t>
            </w:r>
            <w:proofErr w:type="spellEnd"/>
            <w:r w:rsidRPr="004229C1">
              <w:rPr>
                <w:rFonts w:ascii="Times New Roman" w:hAnsi="Times New Roman" w:cs="Times New Roman"/>
                <w:kern w:val="0"/>
                <w:sz w:val="22"/>
                <w:szCs w:val="22"/>
                <w:lang w:val="uk-UA"/>
              </w:rPr>
              <w:t xml:space="preserve"> контролю Банку АТ "ПРАВЕКС БАНК", затвердженої Наглядовою Радою 31.05.2021 (протокол № 8_21, питання 15 порядку денного).</w:t>
            </w:r>
          </w:p>
        </w:tc>
      </w:tr>
      <w:tr w:rsidR="007469BF" w:rsidRPr="004229C1" w14:paraId="3B57A769" w14:textId="77777777">
        <w:trPr>
          <w:trHeight w:val="200"/>
        </w:trPr>
        <w:tc>
          <w:tcPr>
            <w:tcW w:w="4000" w:type="dxa"/>
            <w:tcBorders>
              <w:top w:val="single" w:sz="6" w:space="0" w:color="auto"/>
              <w:bottom w:val="single" w:sz="6" w:space="0" w:color="auto"/>
              <w:right w:val="single" w:sz="6" w:space="0" w:color="auto"/>
            </w:tcBorders>
          </w:tcPr>
          <w:p w14:paraId="2DC8E662"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0F3B18F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так</w:t>
            </w:r>
          </w:p>
        </w:tc>
        <w:tc>
          <w:tcPr>
            <w:tcW w:w="4500" w:type="dxa"/>
            <w:tcBorders>
              <w:top w:val="single" w:sz="6" w:space="0" w:color="auto"/>
              <w:left w:val="single" w:sz="6" w:space="0" w:color="auto"/>
              <w:bottom w:val="single" w:sz="6" w:space="0" w:color="auto"/>
            </w:tcBorders>
          </w:tcPr>
          <w:p w14:paraId="69389922"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У </w:t>
            </w:r>
            <w:proofErr w:type="spellStart"/>
            <w:r w:rsidRPr="004229C1">
              <w:rPr>
                <w:rFonts w:ascii="Times New Roman" w:hAnsi="Times New Roman" w:cs="Times New Roman"/>
                <w:kern w:val="0"/>
                <w:sz w:val="22"/>
                <w:szCs w:val="22"/>
                <w:lang w:val="uk-UA"/>
              </w:rPr>
              <w:t>разi</w:t>
            </w:r>
            <w:proofErr w:type="spellEnd"/>
            <w:r w:rsidRPr="004229C1">
              <w:rPr>
                <w:rFonts w:ascii="Times New Roman" w:hAnsi="Times New Roman" w:cs="Times New Roman"/>
                <w:kern w:val="0"/>
                <w:sz w:val="22"/>
                <w:szCs w:val="22"/>
                <w:lang w:val="uk-UA"/>
              </w:rPr>
              <w:t xml:space="preserve"> прийняття такого </w:t>
            </w:r>
            <w:proofErr w:type="spellStart"/>
            <w:r w:rsidRPr="004229C1">
              <w:rPr>
                <w:rFonts w:ascii="Times New Roman" w:hAnsi="Times New Roman" w:cs="Times New Roman"/>
                <w:kern w:val="0"/>
                <w:sz w:val="22"/>
                <w:szCs w:val="22"/>
                <w:lang w:val="uk-UA"/>
              </w:rPr>
              <w:t>рiшення</w:t>
            </w:r>
            <w:proofErr w:type="spellEnd"/>
            <w:r w:rsidRPr="004229C1">
              <w:rPr>
                <w:rFonts w:ascii="Times New Roman" w:hAnsi="Times New Roman" w:cs="Times New Roman"/>
                <w:kern w:val="0"/>
                <w:sz w:val="22"/>
                <w:szCs w:val="22"/>
                <w:lang w:val="uk-UA"/>
              </w:rPr>
              <w:t>.</w:t>
            </w:r>
          </w:p>
        </w:tc>
      </w:tr>
      <w:tr w:rsidR="007469BF" w:rsidRPr="004229C1" w14:paraId="02F82560" w14:textId="77777777">
        <w:trPr>
          <w:trHeight w:val="200"/>
        </w:trPr>
        <w:tc>
          <w:tcPr>
            <w:tcW w:w="4000" w:type="dxa"/>
            <w:tcBorders>
              <w:top w:val="single" w:sz="6" w:space="0" w:color="auto"/>
              <w:bottom w:val="single" w:sz="6" w:space="0" w:color="auto"/>
              <w:right w:val="single" w:sz="6" w:space="0" w:color="auto"/>
            </w:tcBorders>
          </w:tcPr>
          <w:p w14:paraId="2CBE3CD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14:paraId="1931BC5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ні</w:t>
            </w:r>
          </w:p>
        </w:tc>
        <w:tc>
          <w:tcPr>
            <w:tcW w:w="4500" w:type="dxa"/>
            <w:tcBorders>
              <w:top w:val="single" w:sz="6" w:space="0" w:color="auto"/>
              <w:left w:val="single" w:sz="6" w:space="0" w:color="auto"/>
              <w:bottom w:val="single" w:sz="6" w:space="0" w:color="auto"/>
            </w:tcBorders>
          </w:tcPr>
          <w:p w14:paraId="2412DEC0"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Наразi</w:t>
            </w:r>
            <w:proofErr w:type="spellEnd"/>
            <w:r w:rsidRPr="004229C1">
              <w:rPr>
                <w:rFonts w:ascii="Times New Roman" w:hAnsi="Times New Roman" w:cs="Times New Roman"/>
                <w:kern w:val="0"/>
                <w:sz w:val="22"/>
                <w:szCs w:val="22"/>
                <w:lang w:val="uk-UA"/>
              </w:rPr>
              <w:t xml:space="preserve"> залучення незалежного </w:t>
            </w:r>
            <w:proofErr w:type="spellStart"/>
            <w:r w:rsidRPr="004229C1">
              <w:rPr>
                <w:rFonts w:ascii="Times New Roman" w:hAnsi="Times New Roman" w:cs="Times New Roman"/>
                <w:kern w:val="0"/>
                <w:sz w:val="22"/>
                <w:szCs w:val="22"/>
                <w:lang w:val="uk-UA"/>
              </w:rPr>
              <w:t>зовнiшнього</w:t>
            </w:r>
            <w:proofErr w:type="spellEnd"/>
            <w:r w:rsidRPr="004229C1">
              <w:rPr>
                <w:rFonts w:ascii="Times New Roman" w:hAnsi="Times New Roman" w:cs="Times New Roman"/>
                <w:kern w:val="0"/>
                <w:sz w:val="22"/>
                <w:szCs w:val="22"/>
                <w:lang w:val="uk-UA"/>
              </w:rPr>
              <w:t xml:space="preserve"> експерта для проведення комплексної </w:t>
            </w:r>
            <w:proofErr w:type="spellStart"/>
            <w:r w:rsidRPr="004229C1">
              <w:rPr>
                <w:rFonts w:ascii="Times New Roman" w:hAnsi="Times New Roman" w:cs="Times New Roman"/>
                <w:kern w:val="0"/>
                <w:sz w:val="22"/>
                <w:szCs w:val="22"/>
                <w:lang w:val="uk-UA"/>
              </w:rPr>
              <w:t>оцiнка</w:t>
            </w:r>
            <w:proofErr w:type="spellEnd"/>
            <w:r w:rsidRPr="004229C1">
              <w:rPr>
                <w:rFonts w:ascii="Times New Roman" w:hAnsi="Times New Roman" w:cs="Times New Roman"/>
                <w:kern w:val="0"/>
                <w:sz w:val="22"/>
                <w:szCs w:val="22"/>
                <w:lang w:val="uk-UA"/>
              </w:rPr>
              <w:t xml:space="preserve"> системи корпоративного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не передбачено в Банку. </w:t>
            </w:r>
            <w:proofErr w:type="spellStart"/>
            <w:r w:rsidRPr="004229C1">
              <w:rPr>
                <w:rFonts w:ascii="Times New Roman" w:hAnsi="Times New Roman" w:cs="Times New Roman"/>
                <w:kern w:val="0"/>
                <w:sz w:val="22"/>
                <w:szCs w:val="22"/>
                <w:lang w:val="uk-UA"/>
              </w:rPr>
              <w:t>Оцiнка</w:t>
            </w:r>
            <w:proofErr w:type="spellEnd"/>
            <w:r w:rsidRPr="004229C1">
              <w:rPr>
                <w:rFonts w:ascii="Times New Roman" w:hAnsi="Times New Roman" w:cs="Times New Roman"/>
                <w:kern w:val="0"/>
                <w:sz w:val="22"/>
                <w:szCs w:val="22"/>
                <w:lang w:val="uk-UA"/>
              </w:rPr>
              <w:t xml:space="preserve"> системи корпоративного </w:t>
            </w:r>
            <w:proofErr w:type="spellStart"/>
            <w:r w:rsidRPr="004229C1">
              <w:rPr>
                <w:rFonts w:ascii="Times New Roman" w:hAnsi="Times New Roman" w:cs="Times New Roman"/>
                <w:kern w:val="0"/>
                <w:sz w:val="22"/>
                <w:szCs w:val="22"/>
                <w:lang w:val="uk-UA"/>
              </w:rPr>
              <w:t>управлiння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здiйснюється</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щорiчно</w:t>
            </w:r>
            <w:proofErr w:type="spellEnd"/>
            <w:r w:rsidRPr="004229C1">
              <w:rPr>
                <w:rFonts w:ascii="Times New Roman" w:hAnsi="Times New Roman" w:cs="Times New Roman"/>
                <w:kern w:val="0"/>
                <w:sz w:val="22"/>
                <w:szCs w:val="22"/>
                <w:lang w:val="uk-UA"/>
              </w:rPr>
              <w:t xml:space="preserve"> в межах </w:t>
            </w:r>
            <w:proofErr w:type="spellStart"/>
            <w:r w:rsidRPr="004229C1">
              <w:rPr>
                <w:rFonts w:ascii="Times New Roman" w:hAnsi="Times New Roman" w:cs="Times New Roman"/>
                <w:kern w:val="0"/>
                <w:sz w:val="22"/>
                <w:szCs w:val="22"/>
                <w:lang w:val="uk-UA"/>
              </w:rPr>
              <w:t>оцiнювання</w:t>
            </w:r>
            <w:proofErr w:type="spellEnd"/>
            <w:r w:rsidRPr="004229C1">
              <w:rPr>
                <w:rFonts w:ascii="Times New Roman" w:hAnsi="Times New Roman" w:cs="Times New Roman"/>
                <w:kern w:val="0"/>
                <w:sz w:val="22"/>
                <w:szCs w:val="22"/>
                <w:lang w:val="uk-UA"/>
              </w:rPr>
              <w:t xml:space="preserve"> SREP </w:t>
            </w:r>
            <w:proofErr w:type="spellStart"/>
            <w:r w:rsidRPr="004229C1">
              <w:rPr>
                <w:rFonts w:ascii="Times New Roman" w:hAnsi="Times New Roman" w:cs="Times New Roman"/>
                <w:kern w:val="0"/>
                <w:sz w:val="22"/>
                <w:szCs w:val="22"/>
                <w:lang w:val="uk-UA"/>
              </w:rPr>
              <w:t>Нацiональним</w:t>
            </w:r>
            <w:proofErr w:type="spellEnd"/>
            <w:r w:rsidRPr="004229C1">
              <w:rPr>
                <w:rFonts w:ascii="Times New Roman" w:hAnsi="Times New Roman" w:cs="Times New Roman"/>
                <w:kern w:val="0"/>
                <w:sz w:val="22"/>
                <w:szCs w:val="22"/>
                <w:lang w:val="uk-UA"/>
              </w:rPr>
              <w:t xml:space="preserve"> банком України.</w:t>
            </w:r>
          </w:p>
        </w:tc>
      </w:tr>
    </w:tbl>
    <w:p w14:paraId="04BE7B2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1A86CE74" w14:textId="4B4A9C7A"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 xml:space="preserve">Частина 2. Інформація про загальні збори акціонерів (учасників) та загальний опис прийнятих на таких зборах рішень: </w:t>
      </w:r>
      <w:r w:rsidR="00CA6D12" w:rsidRPr="004229C1">
        <w:rPr>
          <w:rFonts w:ascii="Times New Roman" w:hAnsi="Times New Roman" w:cs="Times New Roman"/>
          <w:b/>
          <w:bCs/>
          <w:kern w:val="0"/>
          <w:lang w:val="uk-UA"/>
        </w:rPr>
        <w:t>6</w:t>
      </w:r>
      <w:r w:rsidRPr="004229C1">
        <w:rPr>
          <w:rFonts w:ascii="Times New Roman" w:hAnsi="Times New Roman" w:cs="Times New Roman"/>
          <w:b/>
          <w:bCs/>
          <w:kern w:val="0"/>
          <w:lang w:val="uk-UA"/>
        </w:rPr>
        <w:t xml:space="preserve"> (</w:t>
      </w:r>
      <w:r w:rsidR="00CA6D12" w:rsidRPr="004229C1">
        <w:rPr>
          <w:rFonts w:ascii="Times New Roman" w:hAnsi="Times New Roman" w:cs="Times New Roman"/>
          <w:b/>
          <w:bCs/>
          <w:kern w:val="0"/>
          <w:lang w:val="uk-UA"/>
        </w:rPr>
        <w:t>6</w:t>
      </w:r>
      <w:r w:rsidRPr="004229C1">
        <w:rPr>
          <w:rFonts w:ascii="Times New Roman" w:hAnsi="Times New Roman" w:cs="Times New Roman"/>
          <w:b/>
          <w:bCs/>
          <w:kern w:val="0"/>
          <w:lang w:val="uk-UA"/>
        </w:rPr>
        <w:t>)</w:t>
      </w:r>
    </w:p>
    <w:tbl>
      <w:tblPr>
        <w:tblStyle w:val="TableNormal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98"/>
        <w:gridCol w:w="6557"/>
      </w:tblGrid>
      <w:tr w:rsidR="00CA6D12" w:rsidRPr="004229C1" w14:paraId="433B7FF8" w14:textId="77777777" w:rsidTr="00FA3E07">
        <w:trPr>
          <w:trHeight w:val="350"/>
        </w:trPr>
        <w:tc>
          <w:tcPr>
            <w:tcW w:w="1864" w:type="pct"/>
          </w:tcPr>
          <w:p w14:paraId="5EA47E60"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679110B9" w14:textId="77777777" w:rsidR="00CA6D12" w:rsidRPr="004229C1" w:rsidRDefault="00CA6D12" w:rsidP="00FA3E07">
            <w:pPr>
              <w:rPr>
                <w:rFonts w:ascii="Times New Roman" w:eastAsia="Times New Roman" w:hAnsi="Times New Roman" w:cs="Times New Roman"/>
                <w:b/>
                <w:lang w:val="uk-UA"/>
              </w:rPr>
            </w:pPr>
            <w:r w:rsidRPr="004229C1">
              <w:rPr>
                <w:rFonts w:ascii="Times New Roman" w:eastAsia="Times New Roman" w:hAnsi="Times New Roman" w:cs="Times New Roman"/>
                <w:lang w:val="uk-UA"/>
              </w:rPr>
              <w:t>09 лютого 2024 року</w:t>
            </w:r>
          </w:p>
        </w:tc>
      </w:tr>
      <w:tr w:rsidR="00CA6D12" w:rsidRPr="004229C1" w14:paraId="6EAEBBED" w14:textId="77777777" w:rsidTr="00FA3E07">
        <w:trPr>
          <w:trHeight w:val="622"/>
        </w:trPr>
        <w:tc>
          <w:tcPr>
            <w:tcW w:w="1864" w:type="pct"/>
          </w:tcPr>
          <w:p w14:paraId="5CA9231C"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5FB4D717"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37AC791A" w14:textId="77777777" w:rsidR="00CA6D12" w:rsidRPr="004229C1" w:rsidRDefault="00CA6D12" w:rsidP="00FA3E07">
            <w:pPr>
              <w:tabs>
                <w:tab w:val="left" w:pos="464"/>
                <w:tab w:val="left" w:pos="465"/>
              </w:tabs>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5102BDB5" w14:textId="77777777" w:rsidTr="00FA3E07">
        <w:trPr>
          <w:trHeight w:val="350"/>
        </w:trPr>
        <w:tc>
          <w:tcPr>
            <w:tcW w:w="1864" w:type="pct"/>
          </w:tcPr>
          <w:p w14:paraId="406C5900"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36" w:type="pct"/>
          </w:tcPr>
          <w:p w14:paraId="179F300A" w14:textId="77777777" w:rsidR="00CA6D12" w:rsidRPr="004229C1" w:rsidRDefault="00CA6D12" w:rsidP="00FA3E07">
            <w:pPr>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0CDB210C" w14:textId="77777777" w:rsidTr="00FA3E07">
        <w:trPr>
          <w:trHeight w:val="350"/>
        </w:trPr>
        <w:tc>
          <w:tcPr>
            <w:tcW w:w="5000" w:type="pct"/>
            <w:gridSpan w:val="2"/>
          </w:tcPr>
          <w:p w14:paraId="7134ACEE"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0713D7FF" w14:textId="77777777" w:rsidTr="00FA3E07">
        <w:trPr>
          <w:trHeight w:val="349"/>
        </w:trPr>
        <w:tc>
          <w:tcPr>
            <w:tcW w:w="1864" w:type="pct"/>
          </w:tcPr>
          <w:p w14:paraId="4D8F8321"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 Про застосування Кодексу корпоративного управління, затвердженого Національною комісією з цінних паперів та фондового ринку</w:t>
            </w:r>
          </w:p>
        </w:tc>
        <w:tc>
          <w:tcPr>
            <w:tcW w:w="3136" w:type="pct"/>
          </w:tcPr>
          <w:p w14:paraId="15A6648E"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 xml:space="preserve">рішення: </w:t>
            </w:r>
          </w:p>
          <w:p w14:paraId="2B6C4DB7"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Застосувати Кодекс корпоративного управління, затверджений рішенням Національної комісії з цінних паперів та фондового ринку від 12.03.2020 № 118 (далі – Кодекс), з урахуванням того, що:</w:t>
            </w:r>
          </w:p>
          <w:p w14:paraId="74EE2CCF"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w:t>
            </w:r>
            <w:r w:rsidRPr="004229C1">
              <w:rPr>
                <w:rFonts w:ascii="Times New Roman" w:eastAsia="Times New Roman" w:hAnsi="Times New Roman" w:cs="Times New Roman"/>
                <w:lang w:val="uk-UA"/>
              </w:rPr>
              <w:tab/>
              <w:t>Банк застосовує вимоги Кодексу і докладає зусиль для застосування рекомендацій, передбачених Кодексом; і при цьому:</w:t>
            </w:r>
          </w:p>
          <w:p w14:paraId="7039FE67"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w:t>
            </w:r>
            <w:r w:rsidRPr="004229C1">
              <w:rPr>
                <w:rFonts w:ascii="Times New Roman" w:eastAsia="Times New Roman" w:hAnsi="Times New Roman" w:cs="Times New Roman"/>
                <w:lang w:val="uk-UA"/>
              </w:rPr>
              <w:tab/>
              <w:t>Банк не зобов’язаний застосовувати Кодекс у тій частині, в якій його положення ґрунтуються лише на вимогах до компаній, цінні папери яких перебувають у лістингу, доки Банк не здійснив лістинг цінних паперів; і</w:t>
            </w:r>
          </w:p>
          <w:p w14:paraId="7BE1A356"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(3)</w:t>
            </w:r>
            <w:r w:rsidRPr="004229C1">
              <w:rPr>
                <w:rFonts w:ascii="Times New Roman" w:eastAsia="Times New Roman" w:hAnsi="Times New Roman" w:cs="Times New Roman"/>
                <w:lang w:val="uk-UA"/>
              </w:rPr>
              <w:tab/>
              <w:t>Банк не зобов’язаний застосовувати Кодекс у тій частині, в якій його положення за своїм змістом стосуються компаній з більш як одним акціонером, доки Банк є товариством з одним акціонером; і</w:t>
            </w:r>
          </w:p>
          <w:p w14:paraId="1A440611"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(4)</w:t>
            </w:r>
            <w:r w:rsidRPr="004229C1">
              <w:rPr>
                <w:rFonts w:ascii="Times New Roman" w:eastAsia="Times New Roman" w:hAnsi="Times New Roman" w:cs="Times New Roman"/>
                <w:lang w:val="uk-UA"/>
              </w:rPr>
              <w:tab/>
              <w:t>застосовуючи положення Кодексу, Банк виходить з пріоритету актів законодавства про банки і банківську діяльність, інших актів законодавства, що регулюють діяльність фінансових установ, порівняно з актами законодавства, що регулюють діяльність акціонерних товариств; і</w:t>
            </w:r>
          </w:p>
          <w:p w14:paraId="3EA97C56"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(5)</w:t>
            </w:r>
            <w:r w:rsidRPr="004229C1">
              <w:rPr>
                <w:rFonts w:ascii="Times New Roman" w:eastAsia="Times New Roman" w:hAnsi="Times New Roman" w:cs="Times New Roman"/>
                <w:lang w:val="uk-UA"/>
              </w:rPr>
              <w:tab/>
              <w:t>у разі іншої колізії між вимогами законодавства України і положеннями Кодексу Банк керується вимогами законодавства України.</w:t>
            </w:r>
          </w:p>
        </w:tc>
      </w:tr>
      <w:tr w:rsidR="00CA6D12" w:rsidRPr="004229C1" w14:paraId="3749E95D" w14:textId="77777777" w:rsidTr="00FA3E07">
        <w:trPr>
          <w:trHeight w:val="580"/>
        </w:trPr>
        <w:tc>
          <w:tcPr>
            <w:tcW w:w="1864" w:type="pct"/>
          </w:tcPr>
          <w:p w14:paraId="1F520291"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36" w:type="pct"/>
          </w:tcPr>
          <w:p w14:paraId="28393F9B" w14:textId="77777777" w:rsidR="00CA6D12" w:rsidRPr="004229C1" w:rsidRDefault="00CA6D12" w:rsidP="00FA3E07">
            <w:pPr>
              <w:rPr>
                <w:rFonts w:ascii="Times New Roman" w:eastAsia="Times New Roman" w:hAnsi="Times New Roman" w:cs="Times New Roman"/>
                <w:b/>
                <w:lang w:val="uk-UA"/>
              </w:rPr>
            </w:pPr>
            <w:hyperlink r:id="rId27" w:history="1">
              <w:r w:rsidRPr="004229C1">
                <w:rPr>
                  <w:rFonts w:ascii="Times New Roman" w:eastAsia="Times New Roman" w:hAnsi="Times New Roman" w:cs="Times New Roman"/>
                  <w:color w:val="AD1F1F"/>
                  <w:u w:val="single"/>
                  <w:lang w:val="uk-UA"/>
                </w:rPr>
                <w:t>https://www.pravex.com.ua/storage/files/rishennya-akcionera-1-09.pdf</w:t>
              </w:r>
            </w:hyperlink>
            <w:r w:rsidRPr="004229C1">
              <w:rPr>
                <w:rFonts w:ascii="Times New Roman" w:eastAsia="Times New Roman" w:hAnsi="Times New Roman" w:cs="Times New Roman"/>
                <w:lang w:val="uk-UA"/>
              </w:rPr>
              <w:t xml:space="preserve"> </w:t>
            </w:r>
          </w:p>
        </w:tc>
      </w:tr>
    </w:tbl>
    <w:p w14:paraId="298A5646" w14:textId="77777777" w:rsidR="00CA6D12" w:rsidRPr="004229C1" w:rsidRDefault="00CA6D12" w:rsidP="00CA6D12">
      <w:pPr>
        <w:autoSpaceDE w:val="0"/>
        <w:autoSpaceDN w:val="0"/>
        <w:adjustRightInd w:val="0"/>
        <w:spacing w:line="240" w:lineRule="auto"/>
        <w:jc w:val="both"/>
        <w:rPr>
          <w:rFonts w:ascii="Times New Roman" w:eastAsia="Calibri" w:hAnsi="Times New Roman" w:cs="Times New Roman"/>
          <w:bCs/>
          <w:i/>
          <w:iCs/>
          <w:lang w:val="uk-UA"/>
        </w:rPr>
      </w:pPr>
    </w:p>
    <w:tbl>
      <w:tblPr>
        <w:tblStyle w:val="TableNormal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98"/>
        <w:gridCol w:w="6557"/>
      </w:tblGrid>
      <w:tr w:rsidR="00CA6D12" w:rsidRPr="004229C1" w14:paraId="4A4C92D3" w14:textId="77777777" w:rsidTr="00FA3E07">
        <w:trPr>
          <w:trHeight w:val="350"/>
        </w:trPr>
        <w:tc>
          <w:tcPr>
            <w:tcW w:w="1864" w:type="pct"/>
          </w:tcPr>
          <w:p w14:paraId="3B1C8BD4"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512D1A08" w14:textId="77777777" w:rsidR="00CA6D12" w:rsidRPr="004229C1" w:rsidRDefault="00CA6D12" w:rsidP="00FA3E07">
            <w:pPr>
              <w:rPr>
                <w:rFonts w:ascii="Times New Roman" w:eastAsia="Times New Roman" w:hAnsi="Times New Roman" w:cs="Times New Roman"/>
                <w:b/>
                <w:lang w:val="uk-UA"/>
              </w:rPr>
            </w:pPr>
            <w:r w:rsidRPr="004229C1">
              <w:rPr>
                <w:rFonts w:ascii="Times New Roman" w:eastAsia="Times New Roman" w:hAnsi="Times New Roman" w:cs="Times New Roman"/>
                <w:lang w:val="uk-UA"/>
              </w:rPr>
              <w:t>28 березня</w:t>
            </w:r>
            <w:r w:rsidRPr="004229C1" w:rsidDel="008A099D">
              <w:rPr>
                <w:rFonts w:ascii="Times New Roman" w:eastAsia="Times New Roman" w:hAnsi="Times New Roman" w:cs="Times New Roman"/>
                <w:lang w:val="uk-UA"/>
              </w:rPr>
              <w:t xml:space="preserve"> </w:t>
            </w:r>
            <w:r w:rsidRPr="004229C1">
              <w:rPr>
                <w:rFonts w:ascii="Times New Roman" w:eastAsia="Times New Roman" w:hAnsi="Times New Roman" w:cs="Times New Roman"/>
                <w:lang w:val="uk-UA"/>
              </w:rPr>
              <w:t>2024 року</w:t>
            </w:r>
          </w:p>
        </w:tc>
      </w:tr>
      <w:tr w:rsidR="00CA6D12" w:rsidRPr="004229C1" w14:paraId="1F8AF865" w14:textId="77777777" w:rsidTr="00FA3E07">
        <w:trPr>
          <w:trHeight w:val="389"/>
        </w:trPr>
        <w:tc>
          <w:tcPr>
            <w:tcW w:w="1864" w:type="pct"/>
          </w:tcPr>
          <w:p w14:paraId="76A99465"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62AEEE89" w14:textId="77777777" w:rsidR="00CA6D12" w:rsidRPr="004229C1" w:rsidRDefault="00CA6D12" w:rsidP="00FA3E07">
            <w:pPr>
              <w:tabs>
                <w:tab w:val="left" w:pos="464"/>
                <w:tab w:val="left" w:pos="465"/>
              </w:tabs>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6C01E3BF" w14:textId="77777777" w:rsidR="00CA6D12" w:rsidRPr="004229C1" w:rsidRDefault="00CA6D12" w:rsidP="00FA3E07">
            <w:pPr>
              <w:tabs>
                <w:tab w:val="left" w:pos="464"/>
                <w:tab w:val="left" w:pos="465"/>
              </w:tabs>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1EDD62D6" w14:textId="77777777" w:rsidTr="00FA3E07">
        <w:trPr>
          <w:trHeight w:val="350"/>
        </w:trPr>
        <w:tc>
          <w:tcPr>
            <w:tcW w:w="1864" w:type="pct"/>
          </w:tcPr>
          <w:p w14:paraId="316804A6"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36" w:type="pct"/>
          </w:tcPr>
          <w:p w14:paraId="7E87127E" w14:textId="77777777" w:rsidR="00CA6D12" w:rsidRPr="004229C1" w:rsidRDefault="00CA6D12" w:rsidP="00FA3E07">
            <w:pPr>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6E604F5F" w14:textId="77777777" w:rsidTr="00FA3E07">
        <w:trPr>
          <w:trHeight w:val="350"/>
        </w:trPr>
        <w:tc>
          <w:tcPr>
            <w:tcW w:w="5000" w:type="pct"/>
            <w:gridSpan w:val="2"/>
          </w:tcPr>
          <w:p w14:paraId="2E257759"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76DBAD7B" w14:textId="77777777" w:rsidTr="00FA3E07">
        <w:trPr>
          <w:trHeight w:val="349"/>
        </w:trPr>
        <w:tc>
          <w:tcPr>
            <w:tcW w:w="1864" w:type="pct"/>
          </w:tcPr>
          <w:p w14:paraId="7FD1D8A2"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 Збільшення розміру статутного капіталу Банку шляхом додаткової емісії простих акцій існуючої номінальної вартості за рахунок додаткових внесків.</w:t>
            </w:r>
          </w:p>
        </w:tc>
        <w:tc>
          <w:tcPr>
            <w:tcW w:w="3136" w:type="pct"/>
          </w:tcPr>
          <w:p w14:paraId="3070B910"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6F78582D"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 Збільшити статутний капітал Банку шляхом додаткової емісії простих акцій існуючої номінальної вартості за рахунок додаткових внесків на суму 1 099 999 999,92 гривні.</w:t>
            </w:r>
          </w:p>
        </w:tc>
      </w:tr>
      <w:tr w:rsidR="00CA6D12" w:rsidRPr="004229C1" w14:paraId="33205176" w14:textId="77777777" w:rsidTr="00FA3E07">
        <w:trPr>
          <w:trHeight w:val="350"/>
        </w:trPr>
        <w:tc>
          <w:tcPr>
            <w:tcW w:w="1864" w:type="pct"/>
          </w:tcPr>
          <w:p w14:paraId="649B40B1"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2. Рішення про емісію акцій.</w:t>
            </w:r>
          </w:p>
        </w:tc>
        <w:tc>
          <w:tcPr>
            <w:tcW w:w="3136" w:type="pct"/>
          </w:tcPr>
          <w:p w14:paraId="330DADA1"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Прийняте рішення: </w:t>
            </w:r>
          </w:p>
          <w:p w14:paraId="2ECABF79"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 Затвердити рішення про емісію акцій, що додається (українською мовою).</w:t>
            </w:r>
          </w:p>
        </w:tc>
      </w:tr>
      <w:tr w:rsidR="00CA6D12" w:rsidRPr="004229C1" w14:paraId="58F799F1" w14:textId="77777777" w:rsidTr="00FA3E07">
        <w:trPr>
          <w:trHeight w:val="350"/>
        </w:trPr>
        <w:tc>
          <w:tcPr>
            <w:tcW w:w="1864" w:type="pct"/>
          </w:tcPr>
          <w:p w14:paraId="79E1E0CC"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3. Визначення уповноваженого органу Банку, якому надаються повноваження, визначені нормативно-правовим актом Національної комісії з цінних паперів та фондового ринку.</w:t>
            </w:r>
          </w:p>
        </w:tc>
        <w:tc>
          <w:tcPr>
            <w:tcW w:w="3136" w:type="pct"/>
          </w:tcPr>
          <w:p w14:paraId="6979F681"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Прийняте рішення: </w:t>
            </w:r>
          </w:p>
          <w:p w14:paraId="06F2B192"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3. Визначити Правління Банку уповноваженим органом Банку, якому надаються повноваження щодо:</w:t>
            </w:r>
          </w:p>
          <w:p w14:paraId="2792E770"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визначення (затвердження) ціни розміщення акцій у процесі емісії акцій;</w:t>
            </w:r>
          </w:p>
          <w:p w14:paraId="49C56C68"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прийняття рішення про дострокове закінчення розміщення у процесі емісії акцій;</w:t>
            </w:r>
          </w:p>
          <w:p w14:paraId="35DCBEE1"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затвердження результатів емісії акцій;</w:t>
            </w:r>
          </w:p>
          <w:p w14:paraId="70938332"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затвердження звіту про результати емісії акцій;</w:t>
            </w:r>
          </w:p>
          <w:p w14:paraId="661CFD9D"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прийняття рішення про відмову від емісії акцій;</w:t>
            </w:r>
          </w:p>
          <w:p w14:paraId="013A51F8"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повернення внесків, внесених в оплату за акції, у разі визнання емісії недійсною або незатвердження в установлені законодавством строки результатів емісії акцій, або невнесення/</w:t>
            </w:r>
            <w:proofErr w:type="spellStart"/>
            <w:r w:rsidRPr="004229C1">
              <w:rPr>
                <w:rFonts w:ascii="Times New Roman" w:eastAsia="Times New Roman" w:hAnsi="Times New Roman" w:cs="Times New Roman"/>
                <w:lang w:val="uk-UA"/>
              </w:rPr>
              <w:t>непроведення</w:t>
            </w:r>
            <w:proofErr w:type="spellEnd"/>
            <w:r w:rsidRPr="004229C1">
              <w:rPr>
                <w:rFonts w:ascii="Times New Roman" w:eastAsia="Times New Roman" w:hAnsi="Times New Roman" w:cs="Times New Roman"/>
                <w:lang w:val="uk-UA"/>
              </w:rPr>
              <w:t xml:space="preserve"> державної реєстрації в установлені законодавством строки змін до статуту Банку щодо збільшення розміру статутного капіталу, або у разі прийняття рішення про відмову від емісії акцій;</w:t>
            </w:r>
          </w:p>
          <w:p w14:paraId="35675A15"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внесення змін до рішення про емісію акцій в частині неістотних параметрів випуску акцій.</w:t>
            </w:r>
          </w:p>
        </w:tc>
      </w:tr>
      <w:tr w:rsidR="00CA6D12" w:rsidRPr="004229C1" w14:paraId="39D01643" w14:textId="77777777" w:rsidTr="00FA3E07">
        <w:trPr>
          <w:trHeight w:val="350"/>
        </w:trPr>
        <w:tc>
          <w:tcPr>
            <w:tcW w:w="1864" w:type="pct"/>
          </w:tcPr>
          <w:p w14:paraId="2DD98E57"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4. Визначення уповноважених осіб Банку, яким надаються повноваження, визначені нормативно-правовим актом Національної комісії з цінних паперів та фондового ринку.</w:t>
            </w:r>
          </w:p>
        </w:tc>
        <w:tc>
          <w:tcPr>
            <w:tcW w:w="3136" w:type="pct"/>
          </w:tcPr>
          <w:p w14:paraId="0E3666A4"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580C5C8C"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4. Визначити уповноважених осіб Банку, а саме:</w:t>
            </w:r>
          </w:p>
          <w:p w14:paraId="6D473ED3"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 xml:space="preserve">Голову Правління Банку пана </w:t>
            </w:r>
            <w:proofErr w:type="spellStart"/>
            <w:r w:rsidRPr="004229C1">
              <w:rPr>
                <w:rFonts w:ascii="Times New Roman" w:eastAsia="Times New Roman" w:hAnsi="Times New Roman" w:cs="Times New Roman"/>
                <w:lang w:val="uk-UA"/>
              </w:rPr>
              <w:t>Джанлуку</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Корріаса</w:t>
            </w:r>
            <w:proofErr w:type="spellEnd"/>
            <w:r w:rsidRPr="004229C1">
              <w:rPr>
                <w:rFonts w:ascii="Times New Roman" w:eastAsia="Times New Roman" w:hAnsi="Times New Roman" w:cs="Times New Roman"/>
                <w:lang w:val="uk-UA"/>
              </w:rPr>
              <w:t>,</w:t>
            </w:r>
          </w:p>
          <w:p w14:paraId="614207EE"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 xml:space="preserve">Заступника Голови Правління, керівника головного управління роздрібного бізнесу (з 01.04.2024 року – Заступника Голови Правління, керівника головного управління бізнесу) пана </w:t>
            </w:r>
            <w:proofErr w:type="spellStart"/>
            <w:r w:rsidRPr="004229C1">
              <w:rPr>
                <w:rFonts w:ascii="Times New Roman" w:eastAsia="Times New Roman" w:hAnsi="Times New Roman" w:cs="Times New Roman"/>
                <w:lang w:val="uk-UA"/>
              </w:rPr>
              <w:t>Бабаєва</w:t>
            </w:r>
            <w:proofErr w:type="spellEnd"/>
            <w:r w:rsidRPr="004229C1">
              <w:rPr>
                <w:rFonts w:ascii="Times New Roman" w:eastAsia="Times New Roman" w:hAnsi="Times New Roman" w:cs="Times New Roman"/>
                <w:lang w:val="uk-UA"/>
              </w:rPr>
              <w:t xml:space="preserve"> Семена </w:t>
            </w:r>
            <w:proofErr w:type="spellStart"/>
            <w:r w:rsidRPr="004229C1">
              <w:rPr>
                <w:rFonts w:ascii="Times New Roman" w:eastAsia="Times New Roman" w:hAnsi="Times New Roman" w:cs="Times New Roman"/>
                <w:lang w:val="uk-UA"/>
              </w:rPr>
              <w:t>Завлуєвича</w:t>
            </w:r>
            <w:proofErr w:type="spellEnd"/>
            <w:r w:rsidRPr="004229C1">
              <w:rPr>
                <w:rFonts w:ascii="Times New Roman" w:eastAsia="Times New Roman" w:hAnsi="Times New Roman" w:cs="Times New Roman"/>
                <w:lang w:val="uk-UA"/>
              </w:rPr>
              <w:t>,</w:t>
            </w:r>
          </w:p>
          <w:p w14:paraId="3D37293A"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 xml:space="preserve">члена Правління Банку, керівника головного фінансового управління пані </w:t>
            </w:r>
            <w:proofErr w:type="spellStart"/>
            <w:r w:rsidRPr="004229C1">
              <w:rPr>
                <w:rFonts w:ascii="Times New Roman" w:eastAsia="Times New Roman" w:hAnsi="Times New Roman" w:cs="Times New Roman"/>
                <w:lang w:val="uk-UA"/>
              </w:rPr>
              <w:t>Крамарову</w:t>
            </w:r>
            <w:proofErr w:type="spellEnd"/>
            <w:r w:rsidRPr="004229C1">
              <w:rPr>
                <w:rFonts w:ascii="Times New Roman" w:eastAsia="Times New Roman" w:hAnsi="Times New Roman" w:cs="Times New Roman"/>
                <w:lang w:val="uk-UA"/>
              </w:rPr>
              <w:t xml:space="preserve"> Світлану Миколаївну,</w:t>
            </w:r>
          </w:p>
          <w:p w14:paraId="083561E7"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r w:rsidRPr="004229C1">
              <w:rPr>
                <w:rFonts w:ascii="Times New Roman" w:eastAsia="Times New Roman" w:hAnsi="Times New Roman" w:cs="Times New Roman"/>
                <w:lang w:val="uk-UA"/>
              </w:rPr>
              <w:tab/>
              <w:t>члена Правління Банку, керівника головного кредитного управління пана Лещенка Руслана Ігоровича</w:t>
            </w:r>
          </w:p>
          <w:p w14:paraId="02F98781"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кожному з яких надаються повноваження (з правом діяти самостійно) проводити дії щодо забезпечення розміщення акцій (укладення договору купівлі-продажу акцій тощо).</w:t>
            </w:r>
          </w:p>
        </w:tc>
      </w:tr>
      <w:tr w:rsidR="00CA6D12" w:rsidRPr="004229C1" w14:paraId="0F214495" w14:textId="77777777" w:rsidTr="00FA3E07">
        <w:trPr>
          <w:trHeight w:val="580"/>
        </w:trPr>
        <w:tc>
          <w:tcPr>
            <w:tcW w:w="1864" w:type="pct"/>
          </w:tcPr>
          <w:p w14:paraId="7EF2DD3C" w14:textId="77777777" w:rsidR="00CA6D12" w:rsidRPr="004229C1" w:rsidRDefault="00CA6D12" w:rsidP="00FA3E07">
            <w:pPr>
              <w:ind w:left="110"/>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36" w:type="pct"/>
          </w:tcPr>
          <w:p w14:paraId="461E2FEC" w14:textId="487A5F27" w:rsidR="00CA6D12" w:rsidRPr="004229C1" w:rsidRDefault="002B4288" w:rsidP="00FA3E07">
            <w:pPr>
              <w:rPr>
                <w:rFonts w:ascii="Times New Roman" w:eastAsia="Times New Roman" w:hAnsi="Times New Roman" w:cs="Times New Roman"/>
                <w:b/>
                <w:lang w:val="uk-UA"/>
              </w:rPr>
            </w:pPr>
            <w:hyperlink r:id="rId28" w:history="1">
              <w:r w:rsidRPr="004229C1">
                <w:rPr>
                  <w:rStyle w:val="Hyperlink"/>
                  <w:rFonts w:ascii="Times New Roman" w:eastAsia="Times New Roman" w:hAnsi="Times New Roman" w:cs="Times New Roman"/>
                  <w:lang w:val="uk-UA"/>
                </w:rPr>
                <w:t>https://www.pravex.com.ua/storage/files/rishennya-3-2024-04.pdf</w:t>
              </w:r>
            </w:hyperlink>
            <w:r w:rsidRPr="004229C1">
              <w:rPr>
                <w:rFonts w:ascii="Times New Roman" w:eastAsia="Times New Roman" w:hAnsi="Times New Roman" w:cs="Times New Roman"/>
                <w:lang w:val="uk-UA"/>
              </w:rPr>
              <w:t xml:space="preserve"> </w:t>
            </w:r>
          </w:p>
        </w:tc>
      </w:tr>
      <w:tr w:rsidR="00CA6D12" w:rsidRPr="004229C1" w14:paraId="7766783F" w14:textId="77777777" w:rsidTr="00FA3E07">
        <w:trPr>
          <w:trHeight w:val="350"/>
        </w:trPr>
        <w:tc>
          <w:tcPr>
            <w:tcW w:w="1864" w:type="pct"/>
          </w:tcPr>
          <w:p w14:paraId="0A50C56D"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57B28A0A"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22 квітня 2024 року</w:t>
            </w:r>
          </w:p>
        </w:tc>
      </w:tr>
      <w:tr w:rsidR="00CA6D12" w:rsidRPr="004229C1" w14:paraId="2B8F0882" w14:textId="77777777" w:rsidTr="00FA3E07">
        <w:trPr>
          <w:trHeight w:val="357"/>
        </w:trPr>
        <w:tc>
          <w:tcPr>
            <w:tcW w:w="1864" w:type="pct"/>
          </w:tcPr>
          <w:p w14:paraId="31200831"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34E70AA8"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1E90941E"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0FB6DC8C" w14:textId="77777777" w:rsidTr="00FA3E07">
        <w:trPr>
          <w:trHeight w:val="350"/>
        </w:trPr>
        <w:tc>
          <w:tcPr>
            <w:tcW w:w="1864" w:type="pct"/>
          </w:tcPr>
          <w:p w14:paraId="29463340"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36" w:type="pct"/>
          </w:tcPr>
          <w:p w14:paraId="0528F7CB"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738FCB3C" w14:textId="77777777" w:rsidTr="00FA3E07">
        <w:trPr>
          <w:trHeight w:val="350"/>
        </w:trPr>
        <w:tc>
          <w:tcPr>
            <w:tcW w:w="5000" w:type="pct"/>
            <w:gridSpan w:val="2"/>
          </w:tcPr>
          <w:p w14:paraId="7537AA5E"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574055CA" w14:textId="77777777" w:rsidTr="00FA3E07">
        <w:trPr>
          <w:trHeight w:val="349"/>
        </w:trPr>
        <w:tc>
          <w:tcPr>
            <w:tcW w:w="1864" w:type="pct"/>
          </w:tcPr>
          <w:p w14:paraId="6E74BCFF"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w:t>
            </w:r>
            <w:r w:rsidRPr="004229C1">
              <w:rPr>
                <w:rFonts w:ascii="Times New Roman" w:hAnsi="Times New Roman" w:cs="Times New Roman"/>
                <w:lang w:val="uk-UA"/>
              </w:rPr>
              <w:t xml:space="preserve"> </w:t>
            </w:r>
            <w:r w:rsidRPr="004229C1">
              <w:rPr>
                <w:rFonts w:ascii="Times New Roman" w:eastAsia="Times New Roman" w:hAnsi="Times New Roman" w:cs="Times New Roman"/>
                <w:lang w:val="uk-UA"/>
              </w:rPr>
              <w:t>Про затвердження річної фінансової звітності АТ «ПРАВЕКС БАНК» станом на 31 грудня 2023 та за рік, що закінчився зазначеною датою</w:t>
            </w:r>
          </w:p>
          <w:p w14:paraId="0F837AC0"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4208D1D2"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Прийняте рішення: </w:t>
            </w:r>
          </w:p>
          <w:p w14:paraId="6766365C"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 Відкласти розгляд річної фінансової звітності АТ "ПРАВЕКС БАНК" станом на 31 грудня 2023 року та за рік, що закінчився зазначеною датою, та її затвердження до позачергових Загальних зборів акціонерів</w:t>
            </w:r>
          </w:p>
        </w:tc>
      </w:tr>
      <w:tr w:rsidR="00CA6D12" w:rsidRPr="004229C1" w14:paraId="2FC33066" w14:textId="77777777" w:rsidTr="00FA3E07">
        <w:trPr>
          <w:trHeight w:val="350"/>
        </w:trPr>
        <w:tc>
          <w:tcPr>
            <w:tcW w:w="1864" w:type="pct"/>
          </w:tcPr>
          <w:p w14:paraId="5A281593"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2. Про розгляд звіту незалежного аудитора Банку до аудиту річної фінансової звітності Банку за 2023 рік (річний звіт), затвердження заходів за результатами розгляду такого звіту</w:t>
            </w:r>
          </w:p>
          <w:p w14:paraId="4ED09785"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3351B178"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60120E80"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 Відкласти розгляд звіту незалежного аудитора Банку до річної фінансової звітності Банку за 2023 рік (річний звіт) та затвердження заходів за результатами розгляду такого звіту до позачергових Загальних зборів акціонерів</w:t>
            </w:r>
          </w:p>
        </w:tc>
      </w:tr>
      <w:tr w:rsidR="00CA6D12" w:rsidRPr="004229C1" w14:paraId="7BA59464" w14:textId="77777777" w:rsidTr="00FA3E07">
        <w:trPr>
          <w:trHeight w:val="350"/>
        </w:trPr>
        <w:tc>
          <w:tcPr>
            <w:tcW w:w="1864" w:type="pct"/>
          </w:tcPr>
          <w:p w14:paraId="6E24821B"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Питання 3. Про затвердження розподілу прибутку або затвердження порядку покриття збитків </w:t>
            </w:r>
          </w:p>
        </w:tc>
        <w:tc>
          <w:tcPr>
            <w:tcW w:w="3136" w:type="pct"/>
          </w:tcPr>
          <w:p w14:paraId="09A049D6"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653D4C50"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Calibri" w:hAnsi="Times New Roman" w:cs="Times New Roman"/>
                <w:bCs/>
                <w:lang w:val="uk-UA"/>
              </w:rPr>
              <w:t>3. Відкласти розгляд питання про затвердження розподілу прибутку або порядок покриття збитків до позачергових Загальних зборів акціонерів</w:t>
            </w:r>
          </w:p>
        </w:tc>
      </w:tr>
      <w:tr w:rsidR="00CA6D12" w:rsidRPr="004229C1" w14:paraId="03C61C3F" w14:textId="77777777" w:rsidTr="00FA3E07">
        <w:trPr>
          <w:trHeight w:val="350"/>
        </w:trPr>
        <w:tc>
          <w:tcPr>
            <w:tcW w:w="1864" w:type="pct"/>
          </w:tcPr>
          <w:p w14:paraId="1A3ABFC9"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4. Про направлення дивідендів за привілейованими акціями за 2023 рік до резервного фонду</w:t>
            </w:r>
          </w:p>
          <w:p w14:paraId="5ADC3472"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4CD4DC9E"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1D20861F"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4. Відкласти розгляд питання про направлення дивідендів за привілейованими акціями за 2023 рік до резервного фонду до позачергових Загальних зборів акціонерів</w:t>
            </w:r>
          </w:p>
        </w:tc>
      </w:tr>
      <w:tr w:rsidR="00CA6D12" w:rsidRPr="004229C1" w14:paraId="3E274CE7" w14:textId="77777777" w:rsidTr="00FA3E07">
        <w:trPr>
          <w:trHeight w:val="350"/>
        </w:trPr>
        <w:tc>
          <w:tcPr>
            <w:tcW w:w="1864" w:type="pct"/>
          </w:tcPr>
          <w:p w14:paraId="62364D37"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5. Про затвердження Звіту керівництва (Звіту про управління) за 2023 рік</w:t>
            </w:r>
          </w:p>
        </w:tc>
        <w:tc>
          <w:tcPr>
            <w:tcW w:w="3136" w:type="pct"/>
          </w:tcPr>
          <w:p w14:paraId="583D16E3"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3AA3EF7C"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5. Відкласти розгляд питання про затвердження Звіту керівництва (Звіту про управління) АТ «ПРАВЕКС БАНК» за 2023 рік до позачергових Загальних зборів акціонерів</w:t>
            </w:r>
          </w:p>
        </w:tc>
      </w:tr>
      <w:tr w:rsidR="00CA6D12" w:rsidRPr="004229C1" w14:paraId="6E1F1943" w14:textId="77777777" w:rsidTr="00FA3E07">
        <w:trPr>
          <w:trHeight w:val="350"/>
        </w:trPr>
        <w:tc>
          <w:tcPr>
            <w:tcW w:w="1864" w:type="pct"/>
          </w:tcPr>
          <w:p w14:paraId="04BE0021"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6. Про розгляд Звіту Наглядової Ради за 2023 рік, затвердження заходів за результатами його розгляду</w:t>
            </w:r>
          </w:p>
        </w:tc>
        <w:tc>
          <w:tcPr>
            <w:tcW w:w="3136" w:type="pct"/>
          </w:tcPr>
          <w:p w14:paraId="0817AD09"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0F55EAD8"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6. Затвердити Звіт Наглядової Ради Банку за 2023 рік (Додаток 1), визнати роботу належною та достатньою. Наглядовій Раді в межах її компетенції врахувати у своїй роботі рекомендації Національного банку України, надані за результатами щорічної наглядової оцінки Банку (SREP) станом на 01.01.2023 року.</w:t>
            </w:r>
          </w:p>
        </w:tc>
      </w:tr>
      <w:tr w:rsidR="00CA6D12" w:rsidRPr="004229C1" w14:paraId="3AEC02AE" w14:textId="77777777" w:rsidTr="00FA3E07">
        <w:trPr>
          <w:trHeight w:val="350"/>
        </w:trPr>
        <w:tc>
          <w:tcPr>
            <w:tcW w:w="1864" w:type="pct"/>
          </w:tcPr>
          <w:p w14:paraId="3A191368"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7. Про затвердження Звіту про винагороду членів Наглядової Ради за 2023 рік</w:t>
            </w:r>
          </w:p>
          <w:p w14:paraId="6F0A3E31"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7700CD97"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74DC1A5B"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7. Затвердити Звіт про винагороду членів Наглядової Ради за 2023 рік (Додаток 2).</w:t>
            </w:r>
          </w:p>
        </w:tc>
      </w:tr>
      <w:tr w:rsidR="00CA6D12" w:rsidRPr="004229C1" w14:paraId="645815BF" w14:textId="77777777" w:rsidTr="00FA3E07">
        <w:trPr>
          <w:trHeight w:val="350"/>
        </w:trPr>
        <w:tc>
          <w:tcPr>
            <w:tcW w:w="1864" w:type="pct"/>
          </w:tcPr>
          <w:p w14:paraId="0B2F9D2A"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8. Про переобрання (припинення повноважень та обрання членів) Наглядової ради АТ «ПРАВЕКС БАНК»</w:t>
            </w:r>
          </w:p>
          <w:p w14:paraId="3CAD0077"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53F7B583"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60FB4C16"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8. Припинити повноваження усіх членів Наглядової Ради у зв’язку із закінченням строку повноважень Наглядової Ради і обрати членів Наглядової Ради АТ «ПРАВЕКС БАНК», що складається з семи осіб:</w:t>
            </w:r>
          </w:p>
          <w:p w14:paraId="23A2DE9B"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пана Сільвіо </w:t>
            </w:r>
            <w:proofErr w:type="spellStart"/>
            <w:r w:rsidRPr="004229C1">
              <w:rPr>
                <w:rFonts w:ascii="Times New Roman" w:eastAsia="Times New Roman" w:hAnsi="Times New Roman" w:cs="Times New Roman"/>
                <w:lang w:val="uk-UA"/>
              </w:rPr>
              <w:t>Педрацці</w:t>
            </w:r>
            <w:proofErr w:type="spellEnd"/>
            <w:r w:rsidRPr="004229C1">
              <w:rPr>
                <w:rFonts w:ascii="Times New Roman" w:eastAsia="Times New Roman" w:hAnsi="Times New Roman" w:cs="Times New Roman"/>
                <w:lang w:val="uk-UA"/>
              </w:rPr>
              <w:t xml:space="preserve"> (представник акціонера);</w:t>
            </w:r>
          </w:p>
          <w:p w14:paraId="3A42A864"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пана </w:t>
            </w:r>
            <w:proofErr w:type="spellStart"/>
            <w:r w:rsidRPr="004229C1">
              <w:rPr>
                <w:rFonts w:ascii="Times New Roman" w:eastAsia="Times New Roman" w:hAnsi="Times New Roman" w:cs="Times New Roman"/>
                <w:lang w:val="uk-UA"/>
              </w:rPr>
              <w:t>Коррадо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П’єтро</w:t>
            </w:r>
            <w:proofErr w:type="spellEnd"/>
            <w:r w:rsidRPr="004229C1">
              <w:rPr>
                <w:rFonts w:ascii="Times New Roman" w:eastAsia="Times New Roman" w:hAnsi="Times New Roman" w:cs="Times New Roman"/>
                <w:lang w:val="uk-UA"/>
              </w:rPr>
              <w:t xml:space="preserve"> Марія </w:t>
            </w:r>
            <w:proofErr w:type="spellStart"/>
            <w:r w:rsidRPr="004229C1">
              <w:rPr>
                <w:rFonts w:ascii="Times New Roman" w:eastAsia="Times New Roman" w:hAnsi="Times New Roman" w:cs="Times New Roman"/>
                <w:lang w:val="uk-UA"/>
              </w:rPr>
              <w:t>Казаліно</w:t>
            </w:r>
            <w:proofErr w:type="spellEnd"/>
            <w:r w:rsidRPr="004229C1">
              <w:rPr>
                <w:rFonts w:ascii="Times New Roman" w:eastAsia="Times New Roman" w:hAnsi="Times New Roman" w:cs="Times New Roman"/>
                <w:lang w:val="uk-UA"/>
              </w:rPr>
              <w:t xml:space="preserve"> (незалежний);</w:t>
            </w:r>
          </w:p>
          <w:p w14:paraId="2A42D421"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пана </w:t>
            </w:r>
            <w:proofErr w:type="spellStart"/>
            <w:r w:rsidRPr="004229C1">
              <w:rPr>
                <w:rFonts w:ascii="Times New Roman" w:eastAsia="Times New Roman" w:hAnsi="Times New Roman" w:cs="Times New Roman"/>
                <w:lang w:val="uk-UA"/>
              </w:rPr>
              <w:t>Фабріціо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Маллен</w:t>
            </w:r>
            <w:proofErr w:type="spellEnd"/>
            <w:r w:rsidRPr="004229C1">
              <w:rPr>
                <w:rFonts w:ascii="Times New Roman" w:eastAsia="Times New Roman" w:hAnsi="Times New Roman" w:cs="Times New Roman"/>
                <w:lang w:val="uk-UA"/>
              </w:rPr>
              <w:t xml:space="preserve"> (незалежний);</w:t>
            </w:r>
          </w:p>
          <w:p w14:paraId="60D0BA9F"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пані Лаура </w:t>
            </w:r>
            <w:proofErr w:type="spellStart"/>
            <w:r w:rsidRPr="004229C1">
              <w:rPr>
                <w:rFonts w:ascii="Times New Roman" w:eastAsia="Times New Roman" w:hAnsi="Times New Roman" w:cs="Times New Roman"/>
                <w:lang w:val="uk-UA"/>
              </w:rPr>
              <w:t>Феббраро</w:t>
            </w:r>
            <w:proofErr w:type="spellEnd"/>
            <w:r w:rsidRPr="004229C1">
              <w:rPr>
                <w:rFonts w:ascii="Times New Roman" w:eastAsia="Times New Roman" w:hAnsi="Times New Roman" w:cs="Times New Roman"/>
                <w:lang w:val="uk-UA"/>
              </w:rPr>
              <w:t xml:space="preserve"> (незалежний);</w:t>
            </w:r>
          </w:p>
          <w:p w14:paraId="42944E49"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пана </w:t>
            </w:r>
            <w:proofErr w:type="spellStart"/>
            <w:r w:rsidRPr="004229C1">
              <w:rPr>
                <w:rFonts w:ascii="Times New Roman" w:eastAsia="Times New Roman" w:hAnsi="Times New Roman" w:cs="Times New Roman"/>
                <w:lang w:val="uk-UA"/>
              </w:rPr>
              <w:t>Франческо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Дель</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Дженіо</w:t>
            </w:r>
            <w:proofErr w:type="spellEnd"/>
            <w:r w:rsidRPr="004229C1">
              <w:rPr>
                <w:rFonts w:ascii="Times New Roman" w:eastAsia="Times New Roman" w:hAnsi="Times New Roman" w:cs="Times New Roman"/>
                <w:lang w:val="uk-UA"/>
              </w:rPr>
              <w:t xml:space="preserve"> (представник акціонера);</w:t>
            </w:r>
          </w:p>
          <w:p w14:paraId="4E8C2F45"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пані </w:t>
            </w:r>
            <w:proofErr w:type="spellStart"/>
            <w:r w:rsidRPr="004229C1">
              <w:rPr>
                <w:rFonts w:ascii="Times New Roman" w:eastAsia="Times New Roman" w:hAnsi="Times New Roman" w:cs="Times New Roman"/>
                <w:lang w:val="uk-UA"/>
              </w:rPr>
              <w:t>Даніела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Бландіно</w:t>
            </w:r>
            <w:proofErr w:type="spellEnd"/>
            <w:r w:rsidRPr="004229C1">
              <w:rPr>
                <w:rFonts w:ascii="Times New Roman" w:eastAsia="Times New Roman" w:hAnsi="Times New Roman" w:cs="Times New Roman"/>
                <w:lang w:val="uk-UA"/>
              </w:rPr>
              <w:t xml:space="preserve"> (представник акціонера);</w:t>
            </w:r>
          </w:p>
          <w:p w14:paraId="72FE415B"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пана </w:t>
            </w:r>
            <w:proofErr w:type="spellStart"/>
            <w:r w:rsidRPr="004229C1">
              <w:rPr>
                <w:rFonts w:ascii="Times New Roman" w:eastAsia="Times New Roman" w:hAnsi="Times New Roman" w:cs="Times New Roman"/>
                <w:lang w:val="uk-UA"/>
              </w:rPr>
              <w:t>Антоніо</w:t>
            </w:r>
            <w:proofErr w:type="spellEnd"/>
            <w:r w:rsidRPr="004229C1">
              <w:rPr>
                <w:rFonts w:ascii="Times New Roman" w:eastAsia="Times New Roman" w:hAnsi="Times New Roman" w:cs="Times New Roman"/>
                <w:lang w:val="uk-UA"/>
              </w:rPr>
              <w:t xml:space="preserve"> Джованні Марія </w:t>
            </w:r>
            <w:proofErr w:type="spellStart"/>
            <w:r w:rsidRPr="004229C1">
              <w:rPr>
                <w:rFonts w:ascii="Times New Roman" w:eastAsia="Times New Roman" w:hAnsi="Times New Roman" w:cs="Times New Roman"/>
                <w:lang w:val="uk-UA"/>
              </w:rPr>
              <w:t>Бергаліо</w:t>
            </w:r>
            <w:proofErr w:type="spellEnd"/>
            <w:r w:rsidRPr="004229C1">
              <w:rPr>
                <w:rFonts w:ascii="Times New Roman" w:eastAsia="Times New Roman" w:hAnsi="Times New Roman" w:cs="Times New Roman"/>
                <w:lang w:val="uk-UA"/>
              </w:rPr>
              <w:t xml:space="preserve"> (представник акціонера).</w:t>
            </w:r>
          </w:p>
          <w:p w14:paraId="1F1E315A"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Строк повноважень Наглядової Ради становить 3 роки до річних Загальних Зборів акціонерів 2027 року.</w:t>
            </w:r>
          </w:p>
        </w:tc>
      </w:tr>
      <w:tr w:rsidR="00CA6D12" w:rsidRPr="004229C1" w14:paraId="4C9AA4A6" w14:textId="77777777" w:rsidTr="00FA3E07">
        <w:trPr>
          <w:trHeight w:val="350"/>
        </w:trPr>
        <w:tc>
          <w:tcPr>
            <w:tcW w:w="1864" w:type="pct"/>
          </w:tcPr>
          <w:p w14:paraId="2247283D"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9. Про затвердження умов цивільно-правових договорів, що укладатимуться з членами Наглядової Ради АТ «ПРАВЕКС БАНК»</w:t>
            </w:r>
          </w:p>
        </w:tc>
        <w:tc>
          <w:tcPr>
            <w:tcW w:w="3136" w:type="pct"/>
          </w:tcPr>
          <w:p w14:paraId="1EDF7C90"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7EBA4FF7"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9. Затвердити умови цивільно-правових договорів, що укладатимутися з членами Наглядової Ради АТ «ПРАВЕКС БАНК» (Додаток 3).</w:t>
            </w:r>
          </w:p>
        </w:tc>
      </w:tr>
      <w:tr w:rsidR="00CA6D12" w:rsidRPr="004229C1" w14:paraId="6828C73E" w14:textId="77777777" w:rsidTr="00FA3E07">
        <w:trPr>
          <w:trHeight w:val="350"/>
        </w:trPr>
        <w:tc>
          <w:tcPr>
            <w:tcW w:w="1864" w:type="pct"/>
          </w:tcPr>
          <w:p w14:paraId="63AB6020"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Питання </w:t>
            </w:r>
            <w:r w:rsidRPr="004229C1">
              <w:rPr>
                <w:rFonts w:ascii="Times New Roman" w:eastAsia="Times New Roman" w:hAnsi="Times New Roman" w:cs="Times New Roman"/>
                <w:bCs/>
                <w:lang w:val="uk-UA"/>
              </w:rPr>
              <w:t>10. Про встановлення розміру винагороди, що виплачується членам Наглядової Ради АТ «ПРАВЕКС БАНК»</w:t>
            </w:r>
          </w:p>
        </w:tc>
        <w:tc>
          <w:tcPr>
            <w:tcW w:w="3136" w:type="pct"/>
          </w:tcPr>
          <w:p w14:paraId="40939413"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78A47EAE"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10. Встановити річний розмір винагороди таким членам Наглядової </w:t>
            </w:r>
            <w:proofErr w:type="spellStart"/>
            <w:r w:rsidRPr="004229C1">
              <w:rPr>
                <w:rFonts w:ascii="Times New Roman" w:eastAsia="Times New Roman" w:hAnsi="Times New Roman" w:cs="Times New Roman"/>
                <w:lang w:val="uk-UA"/>
              </w:rPr>
              <w:t>Pади</w:t>
            </w:r>
            <w:proofErr w:type="spellEnd"/>
            <w:r w:rsidRPr="004229C1">
              <w:rPr>
                <w:rFonts w:ascii="Times New Roman" w:eastAsia="Times New Roman" w:hAnsi="Times New Roman" w:cs="Times New Roman"/>
                <w:lang w:val="uk-UA"/>
              </w:rPr>
              <w:t xml:space="preserve"> АТ «ПРАВЕКС БАНК»:</w:t>
            </w:r>
          </w:p>
          <w:p w14:paraId="599CDAFC"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пану Сільвіо </w:t>
            </w:r>
            <w:proofErr w:type="spellStart"/>
            <w:r w:rsidRPr="004229C1">
              <w:rPr>
                <w:rFonts w:ascii="Times New Roman" w:eastAsia="Times New Roman" w:hAnsi="Times New Roman" w:cs="Times New Roman"/>
                <w:lang w:val="uk-UA"/>
              </w:rPr>
              <w:t>Педрацці</w:t>
            </w:r>
            <w:proofErr w:type="spellEnd"/>
            <w:r w:rsidRPr="004229C1">
              <w:rPr>
                <w:rFonts w:ascii="Times New Roman" w:eastAsia="Times New Roman" w:hAnsi="Times New Roman" w:cs="Times New Roman"/>
                <w:lang w:val="uk-UA"/>
              </w:rPr>
              <w:t xml:space="preserve"> – 25 000 євро, до вирахування податків (включаючи всі податки та збори відповідно до законодавства України);</w:t>
            </w:r>
          </w:p>
          <w:p w14:paraId="7189E676"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пану </w:t>
            </w:r>
            <w:proofErr w:type="spellStart"/>
            <w:r w:rsidRPr="004229C1">
              <w:rPr>
                <w:rFonts w:ascii="Times New Roman" w:eastAsia="Times New Roman" w:hAnsi="Times New Roman" w:cs="Times New Roman"/>
                <w:lang w:val="uk-UA"/>
              </w:rPr>
              <w:t>Коррадо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П’єтро</w:t>
            </w:r>
            <w:proofErr w:type="spellEnd"/>
            <w:r w:rsidRPr="004229C1">
              <w:rPr>
                <w:rFonts w:ascii="Times New Roman" w:eastAsia="Times New Roman" w:hAnsi="Times New Roman" w:cs="Times New Roman"/>
                <w:lang w:val="uk-UA"/>
              </w:rPr>
              <w:t xml:space="preserve"> Марія </w:t>
            </w:r>
            <w:proofErr w:type="spellStart"/>
            <w:r w:rsidRPr="004229C1">
              <w:rPr>
                <w:rFonts w:ascii="Times New Roman" w:eastAsia="Times New Roman" w:hAnsi="Times New Roman" w:cs="Times New Roman"/>
                <w:lang w:val="uk-UA"/>
              </w:rPr>
              <w:t>Казаліно</w:t>
            </w:r>
            <w:proofErr w:type="spellEnd"/>
            <w:r w:rsidRPr="004229C1">
              <w:rPr>
                <w:rFonts w:ascii="Times New Roman" w:eastAsia="Times New Roman" w:hAnsi="Times New Roman" w:cs="Times New Roman"/>
                <w:lang w:val="uk-UA"/>
              </w:rPr>
              <w:t>, незалежному члену, - 15 000 євро, до вирахування податків (включаючи всі податки та збори відповідно до законодавства України);</w:t>
            </w:r>
          </w:p>
          <w:p w14:paraId="525B32CE"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пану </w:t>
            </w:r>
            <w:proofErr w:type="spellStart"/>
            <w:r w:rsidRPr="004229C1">
              <w:rPr>
                <w:rFonts w:ascii="Times New Roman" w:eastAsia="Times New Roman" w:hAnsi="Times New Roman" w:cs="Times New Roman"/>
                <w:lang w:val="uk-UA"/>
              </w:rPr>
              <w:t>Фабріціо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Маллену</w:t>
            </w:r>
            <w:proofErr w:type="spellEnd"/>
            <w:r w:rsidRPr="004229C1">
              <w:rPr>
                <w:rFonts w:ascii="Times New Roman" w:eastAsia="Times New Roman" w:hAnsi="Times New Roman" w:cs="Times New Roman"/>
                <w:lang w:val="uk-UA"/>
              </w:rPr>
              <w:t>, незалежному члену, – 10 000 євро, до вирахування податків (включаючи всі податки та збори відповідно до законодавства України);</w:t>
            </w:r>
          </w:p>
          <w:p w14:paraId="0FB8DF15"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 пані Лаурі </w:t>
            </w:r>
            <w:proofErr w:type="spellStart"/>
            <w:r w:rsidRPr="004229C1">
              <w:rPr>
                <w:rFonts w:ascii="Times New Roman" w:eastAsia="Times New Roman" w:hAnsi="Times New Roman" w:cs="Times New Roman"/>
                <w:lang w:val="uk-UA"/>
              </w:rPr>
              <w:t>Феббраро</w:t>
            </w:r>
            <w:proofErr w:type="spellEnd"/>
            <w:r w:rsidRPr="004229C1">
              <w:rPr>
                <w:rFonts w:ascii="Times New Roman" w:eastAsia="Times New Roman" w:hAnsi="Times New Roman" w:cs="Times New Roman"/>
                <w:lang w:val="uk-UA"/>
              </w:rPr>
              <w:t>, незалежному члену, – 10 000 євро, до вирахування податків (включаючи всі податки та збори відповідно до законодавства України).</w:t>
            </w:r>
          </w:p>
          <w:p w14:paraId="4252DEBA"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Встановити, що річна винагорода підлягає виплаті «15» грудня (а якщо цей день не є робочим, - у перший наступний робочий день) кожного року в сумі, пропорційній відпрацьованому часу, в порядку, визначеному договором між Банком та членом Наглядової Ради.</w:t>
            </w:r>
          </w:p>
          <w:p w14:paraId="003764F5"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У випадку припинення повноважень члена Наглядової Ради з будь-яких причин Банк здійснює виплату винагороди протягом одного місяця з дати припинення повноважень.</w:t>
            </w:r>
          </w:p>
        </w:tc>
      </w:tr>
      <w:tr w:rsidR="00CA6D12" w:rsidRPr="004229C1" w14:paraId="5F72E709" w14:textId="77777777" w:rsidTr="00FA3E07">
        <w:trPr>
          <w:trHeight w:val="350"/>
        </w:trPr>
        <w:tc>
          <w:tcPr>
            <w:tcW w:w="1864" w:type="pct"/>
          </w:tcPr>
          <w:p w14:paraId="7F709739"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11. Про обрання особи, що уповноважується на підписання договорів з членами Наглядової Ради АТ «ПРАВЕКС БАНК»</w:t>
            </w:r>
          </w:p>
        </w:tc>
        <w:tc>
          <w:tcPr>
            <w:tcW w:w="3136" w:type="pct"/>
          </w:tcPr>
          <w:p w14:paraId="1D665E0B"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7B329B0B" w14:textId="77777777" w:rsidR="00CA6D12" w:rsidRPr="004229C1" w:rsidRDefault="00CA6D12" w:rsidP="00FA3E07">
            <w:pPr>
              <w:ind w:left="54"/>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11. Уповноважити Голову Правління АТ «ПРАВЕКС БАНК», або особу, яка виконує обов’язки Голови Правління АТ «ПРАВЕКС БАНК», підписати договори з членами Наглядової Ради АТ «ПРАВЕКС БАНК».</w:t>
            </w:r>
          </w:p>
        </w:tc>
      </w:tr>
      <w:tr w:rsidR="00CA6D12" w:rsidRPr="004229C1" w14:paraId="6D3A7B0D" w14:textId="77777777" w:rsidTr="00FA3E07">
        <w:trPr>
          <w:trHeight w:val="580"/>
        </w:trPr>
        <w:tc>
          <w:tcPr>
            <w:tcW w:w="1864" w:type="pct"/>
          </w:tcPr>
          <w:p w14:paraId="56162FCA"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36" w:type="pct"/>
          </w:tcPr>
          <w:p w14:paraId="2C344B53" w14:textId="3A076A14" w:rsidR="00CA6D12" w:rsidRPr="004229C1" w:rsidRDefault="002B4288" w:rsidP="00FA3E07">
            <w:pPr>
              <w:jc w:val="both"/>
              <w:rPr>
                <w:rFonts w:ascii="Times New Roman" w:eastAsia="Times New Roman" w:hAnsi="Times New Roman" w:cs="Times New Roman"/>
                <w:b/>
                <w:lang w:val="uk-UA"/>
              </w:rPr>
            </w:pPr>
            <w:hyperlink r:id="rId29" w:history="1">
              <w:r w:rsidRPr="004229C1">
                <w:rPr>
                  <w:rStyle w:val="Hyperlink"/>
                  <w:rFonts w:ascii="Times New Roman" w:eastAsia="Times New Roman" w:hAnsi="Times New Roman" w:cs="Times New Roman"/>
                  <w:lang w:val="uk-UA"/>
                </w:rPr>
                <w:t>https://www.pravex.com.ua/storage/files/rishennya-3-2024-04.pdf</w:t>
              </w:r>
            </w:hyperlink>
            <w:r w:rsidRPr="004229C1">
              <w:rPr>
                <w:rFonts w:ascii="Times New Roman" w:eastAsia="Times New Roman" w:hAnsi="Times New Roman" w:cs="Times New Roman"/>
                <w:lang w:val="uk-UA"/>
              </w:rPr>
              <w:t xml:space="preserve"> </w:t>
            </w:r>
          </w:p>
        </w:tc>
      </w:tr>
    </w:tbl>
    <w:p w14:paraId="778FA1FF" w14:textId="77777777" w:rsidR="00CA6D12" w:rsidRPr="004229C1" w:rsidRDefault="00CA6D12" w:rsidP="00CA6D12">
      <w:pPr>
        <w:autoSpaceDE w:val="0"/>
        <w:autoSpaceDN w:val="0"/>
        <w:adjustRightInd w:val="0"/>
        <w:spacing w:line="240" w:lineRule="auto"/>
        <w:jc w:val="both"/>
        <w:rPr>
          <w:rFonts w:ascii="Times New Roman" w:eastAsia="Calibri" w:hAnsi="Times New Roman" w:cs="Times New Roman"/>
          <w:b/>
          <w:sz w:val="22"/>
          <w:szCs w:val="22"/>
          <w:lang w:val="uk-UA"/>
        </w:rPr>
      </w:pPr>
    </w:p>
    <w:tbl>
      <w:tblPr>
        <w:tblStyle w:val="TableNormal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98"/>
        <w:gridCol w:w="6557"/>
      </w:tblGrid>
      <w:tr w:rsidR="00CA6D12" w:rsidRPr="004229C1" w14:paraId="7822BD4D" w14:textId="77777777" w:rsidTr="00FA3E07">
        <w:trPr>
          <w:trHeight w:val="350"/>
        </w:trPr>
        <w:tc>
          <w:tcPr>
            <w:tcW w:w="1864" w:type="pct"/>
          </w:tcPr>
          <w:p w14:paraId="5C46B2A4"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1F4012EC"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28 травня 2024 року</w:t>
            </w:r>
          </w:p>
        </w:tc>
      </w:tr>
      <w:tr w:rsidR="00CA6D12" w:rsidRPr="004229C1" w14:paraId="68ECF291" w14:textId="77777777" w:rsidTr="00FA3E07">
        <w:trPr>
          <w:trHeight w:val="330"/>
        </w:trPr>
        <w:tc>
          <w:tcPr>
            <w:tcW w:w="1864" w:type="pct"/>
          </w:tcPr>
          <w:p w14:paraId="67C51D72"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10077C9A"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0A43DFCA"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54EF2DC1" w14:textId="77777777" w:rsidTr="00FA3E07">
        <w:trPr>
          <w:trHeight w:val="350"/>
        </w:trPr>
        <w:tc>
          <w:tcPr>
            <w:tcW w:w="1864" w:type="pct"/>
          </w:tcPr>
          <w:p w14:paraId="652288A1"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36" w:type="pct"/>
          </w:tcPr>
          <w:p w14:paraId="78E06E2A"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03B64748" w14:textId="77777777" w:rsidTr="00FA3E07">
        <w:trPr>
          <w:trHeight w:val="350"/>
        </w:trPr>
        <w:tc>
          <w:tcPr>
            <w:tcW w:w="5000" w:type="pct"/>
            <w:gridSpan w:val="2"/>
          </w:tcPr>
          <w:p w14:paraId="76BB1F8C"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3B5D7658" w14:textId="77777777" w:rsidTr="00FA3E07">
        <w:trPr>
          <w:trHeight w:val="349"/>
        </w:trPr>
        <w:tc>
          <w:tcPr>
            <w:tcW w:w="1864" w:type="pct"/>
          </w:tcPr>
          <w:p w14:paraId="02D94DBB"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 Внесення змін до Статуту АТ «ПРАВЕКС БАНК» шляхом викладення його в новій редакції.</w:t>
            </w:r>
          </w:p>
          <w:p w14:paraId="6587B7BA"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22A04EA4"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Прийняте рішення:</w:t>
            </w:r>
          </w:p>
          <w:p w14:paraId="7AF59B8D"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1. </w:t>
            </w:r>
            <w:proofErr w:type="spellStart"/>
            <w:r w:rsidRPr="004229C1">
              <w:rPr>
                <w:rFonts w:ascii="Times New Roman" w:eastAsia="Times New Roman" w:hAnsi="Times New Roman" w:cs="Times New Roman"/>
                <w:lang w:val="uk-UA"/>
              </w:rPr>
              <w:t>Внести</w:t>
            </w:r>
            <w:proofErr w:type="spellEnd"/>
            <w:r w:rsidRPr="004229C1">
              <w:rPr>
                <w:rFonts w:ascii="Times New Roman" w:eastAsia="Times New Roman" w:hAnsi="Times New Roman" w:cs="Times New Roman"/>
                <w:lang w:val="uk-UA"/>
              </w:rPr>
              <w:t xml:space="preserve"> зміни до Статуту АТ «ПРАВЕКС БАНК» у зв´язку зі збільшенням Статутного капіталу АТ «ПРАВЕКС БАНК» та з метою приведення положень Статуту Банку у відповідність до вимог законодавства України. Викласти та затвердити нову редакцію Статуту Банку та уповноважити Голову Правління Банку, Заступника Голови Правління Банку або особу, яка буде виконувати обов’язки Голови Правління Банку, підписати нову редакцію Статуту та забезпечити виконання всіх необхідних дій, пов’язаних із погодженням нової редакції Статуту в Національному банку України, а також пов’язаних з державною реєстрацією Статуту, з правом передоручення цих повноважень іншим особам.</w:t>
            </w:r>
          </w:p>
        </w:tc>
      </w:tr>
      <w:tr w:rsidR="00CA6D12" w:rsidRPr="004229C1" w14:paraId="25C62988" w14:textId="77777777" w:rsidTr="00FA3E07">
        <w:trPr>
          <w:trHeight w:val="580"/>
        </w:trPr>
        <w:tc>
          <w:tcPr>
            <w:tcW w:w="1864" w:type="pct"/>
          </w:tcPr>
          <w:p w14:paraId="0B91ED35"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36" w:type="pct"/>
          </w:tcPr>
          <w:p w14:paraId="7845B88E" w14:textId="1512AB46" w:rsidR="00CA6D12" w:rsidRPr="004229C1" w:rsidRDefault="002B4288" w:rsidP="00FA3E07">
            <w:pPr>
              <w:jc w:val="both"/>
              <w:rPr>
                <w:rFonts w:ascii="Times New Roman" w:eastAsia="Times New Roman" w:hAnsi="Times New Roman" w:cs="Times New Roman"/>
                <w:b/>
                <w:lang w:val="uk-UA"/>
              </w:rPr>
            </w:pPr>
            <w:hyperlink r:id="rId30" w:history="1">
              <w:r w:rsidRPr="004229C1">
                <w:rPr>
                  <w:rStyle w:val="Hyperlink"/>
                  <w:rFonts w:ascii="Times New Roman" w:eastAsia="Times New Roman" w:hAnsi="Times New Roman" w:cs="Times New Roman"/>
                  <w:lang w:val="uk-UA"/>
                </w:rPr>
                <w:t>https://www.pravex.com.ua/storage/files/rishennya-akcionera-4-2024.rar</w:t>
              </w:r>
            </w:hyperlink>
            <w:r w:rsidRPr="004229C1">
              <w:rPr>
                <w:rFonts w:ascii="Times New Roman" w:eastAsia="Times New Roman" w:hAnsi="Times New Roman" w:cs="Times New Roman"/>
                <w:lang w:val="uk-UA"/>
              </w:rPr>
              <w:t xml:space="preserve"> </w:t>
            </w:r>
          </w:p>
        </w:tc>
      </w:tr>
    </w:tbl>
    <w:p w14:paraId="3E340951" w14:textId="77777777" w:rsidR="00CA6D12" w:rsidRPr="004229C1" w:rsidRDefault="00CA6D12" w:rsidP="00CA6D12">
      <w:pPr>
        <w:autoSpaceDE w:val="0"/>
        <w:autoSpaceDN w:val="0"/>
        <w:adjustRightInd w:val="0"/>
        <w:spacing w:line="240" w:lineRule="auto"/>
        <w:jc w:val="both"/>
        <w:rPr>
          <w:rFonts w:ascii="Times New Roman" w:eastAsia="Calibri" w:hAnsi="Times New Roman" w:cs="Times New Roman"/>
          <w:b/>
          <w:sz w:val="22"/>
          <w:szCs w:val="22"/>
          <w:lang w:val="uk-UA"/>
        </w:rPr>
      </w:pPr>
    </w:p>
    <w:tbl>
      <w:tblPr>
        <w:tblStyle w:val="TableNormal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98"/>
        <w:gridCol w:w="6557"/>
      </w:tblGrid>
      <w:tr w:rsidR="00CA6D12" w:rsidRPr="004229C1" w14:paraId="5D1836DC" w14:textId="77777777" w:rsidTr="00FA3E07">
        <w:trPr>
          <w:trHeight w:val="350"/>
        </w:trPr>
        <w:tc>
          <w:tcPr>
            <w:tcW w:w="1864" w:type="pct"/>
          </w:tcPr>
          <w:p w14:paraId="6D564A21"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2266CECC"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22 липня 2024 року</w:t>
            </w:r>
          </w:p>
        </w:tc>
      </w:tr>
      <w:tr w:rsidR="00CA6D12" w:rsidRPr="004229C1" w14:paraId="0E8E687A" w14:textId="77777777" w:rsidTr="00FA3E07">
        <w:trPr>
          <w:trHeight w:val="325"/>
        </w:trPr>
        <w:tc>
          <w:tcPr>
            <w:tcW w:w="1864" w:type="pct"/>
          </w:tcPr>
          <w:p w14:paraId="04FD6C18"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36" w:type="pct"/>
          </w:tcPr>
          <w:p w14:paraId="092883DA"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7256FF56"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66FE049C" w14:textId="77777777" w:rsidTr="00FA3E07">
        <w:trPr>
          <w:trHeight w:val="350"/>
        </w:trPr>
        <w:tc>
          <w:tcPr>
            <w:tcW w:w="1864" w:type="pct"/>
          </w:tcPr>
          <w:p w14:paraId="084AC8E5"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36" w:type="pct"/>
          </w:tcPr>
          <w:p w14:paraId="3809B1FD"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3C5E7156" w14:textId="77777777" w:rsidTr="00FA3E07">
        <w:trPr>
          <w:trHeight w:val="350"/>
        </w:trPr>
        <w:tc>
          <w:tcPr>
            <w:tcW w:w="5000" w:type="pct"/>
            <w:gridSpan w:val="2"/>
          </w:tcPr>
          <w:p w14:paraId="3A03BC60"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30C025A0" w14:textId="77777777" w:rsidTr="00FA3E07">
        <w:trPr>
          <w:trHeight w:val="349"/>
        </w:trPr>
        <w:tc>
          <w:tcPr>
            <w:tcW w:w="1864" w:type="pct"/>
          </w:tcPr>
          <w:p w14:paraId="0E2ECE81"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 Про затвердження річної фінансової звітності АТ «ПРАВЕКС БАНК» станом на 31 грудня 2023 та за рік, що закінчився зазначеною датою</w:t>
            </w:r>
          </w:p>
          <w:p w14:paraId="34B4F1AC"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1CA81FEA"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78DD11F8"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 Затвердити річну фінансову звітність АТ "ПРАВЕКС БАНК" станом на 31 грудня 2023 року та за рік, що закінчився зазначеною датою (Додаток 1), у такому складі:</w:t>
            </w:r>
          </w:p>
          <w:p w14:paraId="54075F9D"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1.1.Звіт про фінансовий стан на 31 грудня 2023 року</w:t>
            </w:r>
          </w:p>
          <w:p w14:paraId="39EBE214"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1.2. Звіт про прибуток або збиток за 2023 рік</w:t>
            </w:r>
          </w:p>
          <w:p w14:paraId="294CDD27"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1.3. Звіт про сукупний дохід за 2023 рік</w:t>
            </w:r>
          </w:p>
          <w:p w14:paraId="04CCEA60"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1.4. Звіт про рух грошових коштів за 2023 рік</w:t>
            </w:r>
          </w:p>
          <w:p w14:paraId="44482A1C"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1.5. Звіт про зміни у власному капіталі за 2023 рік</w:t>
            </w:r>
          </w:p>
          <w:p w14:paraId="1F8447B8"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1.6. Примітки до фінансової звітності на 31 грудня 2023 рік та за рік, що закінчився на цю дату.</w:t>
            </w:r>
          </w:p>
        </w:tc>
      </w:tr>
      <w:tr w:rsidR="00CA6D12" w:rsidRPr="004229C1" w14:paraId="47E109B7" w14:textId="77777777" w:rsidTr="00FA3E07">
        <w:trPr>
          <w:trHeight w:val="350"/>
        </w:trPr>
        <w:tc>
          <w:tcPr>
            <w:tcW w:w="1864" w:type="pct"/>
          </w:tcPr>
          <w:p w14:paraId="5670456A"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2. Про розгляд звіту незалежного аудитора Банку до аудиту річної фінансової звітності Банку за 2023 рік (річний звіт), затвердження заходів за результатами розгляду такого звіту</w:t>
            </w:r>
          </w:p>
          <w:p w14:paraId="2C23C8A1" w14:textId="77777777" w:rsidR="00CA6D12" w:rsidRPr="004229C1" w:rsidRDefault="00CA6D12" w:rsidP="00FA3E07">
            <w:pPr>
              <w:ind w:left="110"/>
              <w:jc w:val="both"/>
              <w:rPr>
                <w:rFonts w:ascii="Times New Roman" w:eastAsia="Times New Roman" w:hAnsi="Times New Roman" w:cs="Times New Roman"/>
                <w:b/>
                <w:lang w:val="uk-UA"/>
              </w:rPr>
            </w:pPr>
          </w:p>
        </w:tc>
        <w:tc>
          <w:tcPr>
            <w:tcW w:w="3136" w:type="pct"/>
          </w:tcPr>
          <w:p w14:paraId="73D48926"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3B9E6DA4"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Calibri" w:hAnsi="Times New Roman" w:cs="Times New Roman"/>
                <w:lang w:val="uk-UA"/>
              </w:rPr>
              <w:t xml:space="preserve">2. Затвердити Звіт незалежного аудитора ТОВ «Ернст </w:t>
            </w:r>
            <w:proofErr w:type="spellStart"/>
            <w:r w:rsidRPr="004229C1">
              <w:rPr>
                <w:rFonts w:ascii="Times New Roman" w:eastAsia="Calibri" w:hAnsi="Times New Roman" w:cs="Times New Roman"/>
                <w:lang w:val="uk-UA"/>
              </w:rPr>
              <w:t>енд</w:t>
            </w:r>
            <w:proofErr w:type="spellEnd"/>
            <w:r w:rsidRPr="004229C1">
              <w:rPr>
                <w:rFonts w:ascii="Times New Roman" w:eastAsia="Calibri" w:hAnsi="Times New Roman" w:cs="Times New Roman"/>
                <w:lang w:val="uk-UA"/>
              </w:rPr>
              <w:t xml:space="preserve"> </w:t>
            </w:r>
            <w:proofErr w:type="spellStart"/>
            <w:r w:rsidRPr="004229C1">
              <w:rPr>
                <w:rFonts w:ascii="Times New Roman" w:eastAsia="Calibri" w:hAnsi="Times New Roman" w:cs="Times New Roman"/>
                <w:lang w:val="uk-UA"/>
              </w:rPr>
              <w:t>Янг</w:t>
            </w:r>
            <w:proofErr w:type="spellEnd"/>
            <w:r w:rsidRPr="004229C1">
              <w:rPr>
                <w:rFonts w:ascii="Times New Roman" w:eastAsia="Calibri" w:hAnsi="Times New Roman" w:cs="Times New Roman"/>
                <w:lang w:val="uk-UA"/>
              </w:rPr>
              <w:t xml:space="preserve"> Аудиторські Послуги» до річної фінансової звітності Банку за 2023 рік (річний звіт), взявши до відома, що потреби у додаткових заходах не вбачається (Додаток 2)</w:t>
            </w:r>
          </w:p>
        </w:tc>
      </w:tr>
      <w:tr w:rsidR="00CA6D12" w:rsidRPr="004229C1" w14:paraId="472B9F7E" w14:textId="77777777" w:rsidTr="00FA3E07">
        <w:trPr>
          <w:trHeight w:val="350"/>
        </w:trPr>
        <w:tc>
          <w:tcPr>
            <w:tcW w:w="1864" w:type="pct"/>
          </w:tcPr>
          <w:p w14:paraId="1F3E82DB"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3. Про затвердження розподілу прибутку або затвердження порядку покриття збитків</w:t>
            </w:r>
          </w:p>
        </w:tc>
        <w:tc>
          <w:tcPr>
            <w:tcW w:w="3136" w:type="pct"/>
          </w:tcPr>
          <w:p w14:paraId="3C2EC913"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69E4BC9C"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3. Затвердити розподіл прибутку або порядок покриття збитків АТ «ПРАВЕКС БАНК», а саме:</w:t>
            </w:r>
          </w:p>
          <w:p w14:paraId="07249D4B"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3.1. Затвердити фінансовий результат Банку за 2023 рік, затверджений Наглядовою Радою Банку, а саме збиток у розмірі – 92 889 635,25 гривень.</w:t>
            </w:r>
          </w:p>
          <w:p w14:paraId="22B2F9F3"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3.2. Направити збиток за 2023 рік до Непокритих збитків минулих років.</w:t>
            </w:r>
          </w:p>
        </w:tc>
      </w:tr>
      <w:tr w:rsidR="00CA6D12" w:rsidRPr="004229C1" w14:paraId="7A64A9DC" w14:textId="77777777" w:rsidTr="00FA3E07">
        <w:trPr>
          <w:trHeight w:val="350"/>
        </w:trPr>
        <w:tc>
          <w:tcPr>
            <w:tcW w:w="1864" w:type="pct"/>
          </w:tcPr>
          <w:p w14:paraId="6F9271CC"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4. Про направлення дивідендів за привілейованими акціями за 2023 рік до резервного фонду</w:t>
            </w:r>
          </w:p>
        </w:tc>
        <w:tc>
          <w:tcPr>
            <w:tcW w:w="3136" w:type="pct"/>
          </w:tcPr>
          <w:p w14:paraId="602494D2"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766E23E9"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4. Направити нараховані за рахунок коштів Резервного Фонду дивіденди за привілейованими акціями за 2023 рік у розмірі 156 600 гривень 00 копійок на збільшення Резервного Фонду АТ «ПРАВЕКС БАНК».</w:t>
            </w:r>
          </w:p>
        </w:tc>
      </w:tr>
      <w:tr w:rsidR="00CA6D12" w:rsidRPr="004229C1" w14:paraId="4353E5A4" w14:textId="77777777" w:rsidTr="00FA3E07">
        <w:trPr>
          <w:trHeight w:val="350"/>
        </w:trPr>
        <w:tc>
          <w:tcPr>
            <w:tcW w:w="1864" w:type="pct"/>
          </w:tcPr>
          <w:p w14:paraId="02D565D2"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5. Про затвердження Звіту керівництва (Звіту про управління) за 2023 рік</w:t>
            </w:r>
          </w:p>
        </w:tc>
        <w:tc>
          <w:tcPr>
            <w:tcW w:w="3136" w:type="pct"/>
          </w:tcPr>
          <w:p w14:paraId="4FAFD75F"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27E62631" w14:textId="77777777" w:rsidR="00CA6D12" w:rsidRPr="004229C1" w:rsidRDefault="00CA6D12" w:rsidP="00FA3E07">
            <w:pPr>
              <w:ind w:left="54"/>
              <w:jc w:val="both"/>
              <w:rPr>
                <w:rFonts w:ascii="Times New Roman" w:eastAsia="Times New Roman" w:hAnsi="Times New Roman" w:cs="Times New Roman"/>
                <w:b/>
                <w:color w:val="000000"/>
                <w:lang w:val="uk-UA"/>
              </w:rPr>
            </w:pPr>
            <w:r w:rsidRPr="004229C1">
              <w:rPr>
                <w:rFonts w:ascii="Times New Roman" w:eastAsia="Times New Roman" w:hAnsi="Times New Roman" w:cs="Times New Roman"/>
                <w:lang w:val="uk-UA"/>
              </w:rPr>
              <w:t xml:space="preserve">5. Затвердити Звіт керівництва (Звіт про управління) АТ «ПРАВЕКС БАНК» за 2023 рік (Додаток 3) </w:t>
            </w:r>
          </w:p>
        </w:tc>
      </w:tr>
      <w:tr w:rsidR="00CA6D12" w:rsidRPr="004229C1" w14:paraId="0E3F128D" w14:textId="77777777" w:rsidTr="00FA3E07">
        <w:trPr>
          <w:trHeight w:val="350"/>
        </w:trPr>
        <w:tc>
          <w:tcPr>
            <w:tcW w:w="1864" w:type="pct"/>
          </w:tcPr>
          <w:p w14:paraId="049D9521"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 6. Про затвердження Політики винагороди АТ «ПРАВЕКС БАНК» на 2024 р.</w:t>
            </w:r>
          </w:p>
        </w:tc>
        <w:tc>
          <w:tcPr>
            <w:tcW w:w="3136" w:type="pct"/>
          </w:tcPr>
          <w:p w14:paraId="2C6ED095"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3244A372" w14:textId="77777777" w:rsidR="00CA6D12" w:rsidRPr="004229C1" w:rsidRDefault="00CA6D12" w:rsidP="00FA3E07">
            <w:pPr>
              <w:ind w:left="54"/>
              <w:jc w:val="both"/>
              <w:rPr>
                <w:rFonts w:ascii="Times New Roman" w:eastAsia="Calibri" w:hAnsi="Times New Roman" w:cs="Times New Roman"/>
                <w:b/>
                <w:lang w:val="uk-UA"/>
              </w:rPr>
            </w:pPr>
            <w:r w:rsidRPr="004229C1">
              <w:rPr>
                <w:rFonts w:ascii="Times New Roman" w:eastAsia="Times New Roman" w:hAnsi="Times New Roman" w:cs="Times New Roman"/>
                <w:lang w:val="uk-UA"/>
              </w:rPr>
              <w:t>6. Затвердити Політику винагороди АТ «ПРАВЕКС БАНК» на 2024 р. (в частині винагороди Наглядової Ради) (Додаток 4).</w:t>
            </w:r>
          </w:p>
        </w:tc>
      </w:tr>
      <w:tr w:rsidR="00CA6D12" w:rsidRPr="004229C1" w14:paraId="23785D8B" w14:textId="77777777" w:rsidTr="00FA3E07">
        <w:trPr>
          <w:trHeight w:val="580"/>
        </w:trPr>
        <w:tc>
          <w:tcPr>
            <w:tcW w:w="1864" w:type="pct"/>
          </w:tcPr>
          <w:p w14:paraId="24B75F4D"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36" w:type="pct"/>
          </w:tcPr>
          <w:p w14:paraId="29CFC9AB" w14:textId="64FBE82D" w:rsidR="00CA6D12" w:rsidRPr="004229C1" w:rsidRDefault="002B4288" w:rsidP="00FA3E07">
            <w:pPr>
              <w:jc w:val="both"/>
              <w:rPr>
                <w:rFonts w:ascii="Times New Roman" w:eastAsia="Times New Roman" w:hAnsi="Times New Roman" w:cs="Times New Roman"/>
                <w:b/>
                <w:lang w:val="uk-UA"/>
              </w:rPr>
            </w:pPr>
            <w:hyperlink r:id="rId31" w:history="1">
              <w:r w:rsidRPr="004229C1">
                <w:rPr>
                  <w:rStyle w:val="Hyperlink"/>
                  <w:rFonts w:ascii="Times New Roman" w:eastAsia="Times New Roman" w:hAnsi="Times New Roman" w:cs="Times New Roman"/>
                  <w:lang w:val="uk-UA"/>
                </w:rPr>
                <w:t>https://www.pravex.com.ua/storage/files/rishennya-akcionera-5-22.rar</w:t>
              </w:r>
            </w:hyperlink>
            <w:r w:rsidRPr="004229C1">
              <w:rPr>
                <w:rFonts w:ascii="Times New Roman" w:eastAsia="Times New Roman" w:hAnsi="Times New Roman" w:cs="Times New Roman"/>
                <w:lang w:val="uk-UA"/>
              </w:rPr>
              <w:t xml:space="preserve"> </w:t>
            </w:r>
          </w:p>
        </w:tc>
      </w:tr>
    </w:tbl>
    <w:p w14:paraId="5BA96EB8" w14:textId="77777777" w:rsidR="00CA6D12" w:rsidRPr="004229C1" w:rsidRDefault="00CA6D12" w:rsidP="00CA6D12">
      <w:pPr>
        <w:autoSpaceDE w:val="0"/>
        <w:autoSpaceDN w:val="0"/>
        <w:adjustRightInd w:val="0"/>
        <w:spacing w:line="240" w:lineRule="auto"/>
        <w:jc w:val="both"/>
        <w:rPr>
          <w:rFonts w:ascii="Times New Roman" w:eastAsia="Calibri" w:hAnsi="Times New Roman" w:cs="Times New Roman"/>
          <w:b/>
          <w:sz w:val="22"/>
          <w:szCs w:val="22"/>
          <w:lang w:val="uk-UA"/>
        </w:rPr>
      </w:pPr>
    </w:p>
    <w:tbl>
      <w:tblPr>
        <w:tblStyle w:val="TableNormal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9"/>
        <w:gridCol w:w="6516"/>
      </w:tblGrid>
      <w:tr w:rsidR="00CA6D12" w:rsidRPr="004229C1" w14:paraId="6E51B8F6" w14:textId="77777777" w:rsidTr="00FA3E07">
        <w:trPr>
          <w:trHeight w:val="350"/>
        </w:trPr>
        <w:tc>
          <w:tcPr>
            <w:tcW w:w="1884" w:type="pct"/>
          </w:tcPr>
          <w:p w14:paraId="0E095ECA"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Дата</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16" w:type="pct"/>
          </w:tcPr>
          <w:p w14:paraId="18862BF9"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12 грудня 2024 року</w:t>
            </w:r>
          </w:p>
        </w:tc>
      </w:tr>
      <w:tr w:rsidR="00CA6D12" w:rsidRPr="004229C1" w14:paraId="639FD34D" w14:textId="77777777" w:rsidTr="00FA3E07">
        <w:trPr>
          <w:trHeight w:val="554"/>
        </w:trPr>
        <w:tc>
          <w:tcPr>
            <w:tcW w:w="1884" w:type="pct"/>
          </w:tcPr>
          <w:p w14:paraId="50319679"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Спосіб</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проведення</w:t>
            </w:r>
          </w:p>
        </w:tc>
        <w:tc>
          <w:tcPr>
            <w:tcW w:w="3116" w:type="pct"/>
          </w:tcPr>
          <w:p w14:paraId="19668962"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Очне голосування, місце проведення: м. Київ, Україна,</w:t>
            </w:r>
          </w:p>
          <w:p w14:paraId="0DB13DE3" w14:textId="77777777" w:rsidR="00CA6D12" w:rsidRPr="004229C1" w:rsidRDefault="00CA6D12" w:rsidP="00FA3E07">
            <w:pPr>
              <w:tabs>
                <w:tab w:val="left" w:pos="464"/>
                <w:tab w:val="left" w:pos="465"/>
              </w:tabs>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Кловський </w:t>
            </w:r>
            <w:proofErr w:type="spellStart"/>
            <w:r w:rsidRPr="004229C1">
              <w:rPr>
                <w:rFonts w:ascii="Times New Roman" w:eastAsia="Times New Roman" w:hAnsi="Times New Roman" w:cs="Times New Roman"/>
                <w:lang w:val="uk-UA"/>
              </w:rPr>
              <w:t>узвiз</w:t>
            </w:r>
            <w:proofErr w:type="spellEnd"/>
            <w:r w:rsidRPr="004229C1">
              <w:rPr>
                <w:rFonts w:ascii="Times New Roman" w:eastAsia="Times New Roman" w:hAnsi="Times New Roman" w:cs="Times New Roman"/>
                <w:lang w:val="uk-UA"/>
              </w:rPr>
              <w:t xml:space="preserve"> 9/2</w:t>
            </w:r>
          </w:p>
        </w:tc>
      </w:tr>
      <w:tr w:rsidR="00CA6D12" w:rsidRPr="004229C1" w14:paraId="0A6AE368" w14:textId="77777777" w:rsidTr="00FA3E07">
        <w:trPr>
          <w:trHeight w:val="350"/>
        </w:trPr>
        <w:tc>
          <w:tcPr>
            <w:tcW w:w="1884" w:type="pct"/>
          </w:tcPr>
          <w:p w14:paraId="057A26C4"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Суб’єкт</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скликання</w:t>
            </w:r>
          </w:p>
        </w:tc>
        <w:tc>
          <w:tcPr>
            <w:tcW w:w="3116" w:type="pct"/>
          </w:tcPr>
          <w:p w14:paraId="3A2DCEFF" w14:textId="77777777" w:rsidR="00CA6D12" w:rsidRPr="004229C1" w:rsidRDefault="00CA6D12" w:rsidP="00FA3E07">
            <w:pPr>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Єдиний </w:t>
            </w:r>
            <w:proofErr w:type="spellStart"/>
            <w:r w:rsidRPr="004229C1">
              <w:rPr>
                <w:rFonts w:ascii="Times New Roman" w:eastAsia="Times New Roman" w:hAnsi="Times New Roman" w:cs="Times New Roman"/>
                <w:lang w:val="uk-UA"/>
              </w:rPr>
              <w:t>акцiонер</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Iнтеза</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Санпаоло</w:t>
            </w:r>
            <w:proofErr w:type="spellEnd"/>
            <w:r w:rsidRPr="004229C1">
              <w:rPr>
                <w:rFonts w:ascii="Times New Roman" w:eastAsia="Times New Roman" w:hAnsi="Times New Roman" w:cs="Times New Roman"/>
                <w:lang w:val="uk-UA"/>
              </w:rPr>
              <w:t xml:space="preserve"> </w:t>
            </w:r>
            <w:proofErr w:type="spellStart"/>
            <w:r w:rsidRPr="004229C1">
              <w:rPr>
                <w:rFonts w:ascii="Times New Roman" w:eastAsia="Times New Roman" w:hAnsi="Times New Roman" w:cs="Times New Roman"/>
                <w:lang w:val="uk-UA"/>
              </w:rPr>
              <w:t>С.п.А</w:t>
            </w:r>
            <w:proofErr w:type="spellEnd"/>
            <w:r w:rsidRPr="004229C1">
              <w:rPr>
                <w:rFonts w:ascii="Times New Roman" w:eastAsia="Times New Roman" w:hAnsi="Times New Roman" w:cs="Times New Roman"/>
                <w:lang w:val="uk-UA"/>
              </w:rPr>
              <w:t>.</w:t>
            </w:r>
          </w:p>
        </w:tc>
      </w:tr>
      <w:tr w:rsidR="00CA6D12" w:rsidRPr="004229C1" w14:paraId="1DAA9F26" w14:textId="77777777" w:rsidTr="00FA3E07">
        <w:trPr>
          <w:trHeight w:val="350"/>
        </w:trPr>
        <w:tc>
          <w:tcPr>
            <w:tcW w:w="5000" w:type="pct"/>
            <w:gridSpan w:val="2"/>
          </w:tcPr>
          <w:p w14:paraId="41A2CD4B"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4"/>
                <w:lang w:val="uk-UA"/>
              </w:rPr>
              <w:t xml:space="preserve"> </w:t>
            </w:r>
            <w:r w:rsidRPr="004229C1">
              <w:rPr>
                <w:rFonts w:ascii="Times New Roman" w:eastAsia="Times New Roman" w:hAnsi="Times New Roman" w:cs="Times New Roman"/>
                <w:lang w:val="uk-UA"/>
              </w:rPr>
              <w:t>порядку</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денного</w:t>
            </w:r>
            <w:r w:rsidRPr="004229C1">
              <w:rPr>
                <w:rFonts w:ascii="Times New Roman" w:eastAsia="Times New Roman" w:hAnsi="Times New Roman" w:cs="Times New Roman"/>
                <w:spacing w:val="-8"/>
                <w:lang w:val="uk-UA"/>
              </w:rPr>
              <w:t xml:space="preserve"> </w:t>
            </w:r>
            <w:r w:rsidRPr="004229C1">
              <w:rPr>
                <w:rFonts w:ascii="Times New Roman" w:eastAsia="Times New Roman" w:hAnsi="Times New Roman" w:cs="Times New Roman"/>
                <w:lang w:val="uk-UA"/>
              </w:rPr>
              <w:t>та</w:t>
            </w:r>
            <w:r w:rsidRPr="004229C1">
              <w:rPr>
                <w:rFonts w:ascii="Times New Roman" w:eastAsia="Times New Roman" w:hAnsi="Times New Roman" w:cs="Times New Roman"/>
                <w:spacing w:val="-2"/>
                <w:lang w:val="uk-UA"/>
              </w:rPr>
              <w:t xml:space="preserve"> </w:t>
            </w:r>
            <w:r w:rsidRPr="004229C1">
              <w:rPr>
                <w:rFonts w:ascii="Times New Roman" w:eastAsia="Times New Roman" w:hAnsi="Times New Roman" w:cs="Times New Roman"/>
                <w:lang w:val="uk-UA"/>
              </w:rPr>
              <w:t>прийняті</w:t>
            </w:r>
            <w:r w:rsidRPr="004229C1">
              <w:rPr>
                <w:rFonts w:ascii="Times New Roman" w:eastAsia="Times New Roman" w:hAnsi="Times New Roman" w:cs="Times New Roman"/>
                <w:spacing w:val="-5"/>
                <w:lang w:val="uk-UA"/>
              </w:rPr>
              <w:t xml:space="preserve"> </w:t>
            </w:r>
            <w:r w:rsidRPr="004229C1">
              <w:rPr>
                <w:rFonts w:ascii="Times New Roman" w:eastAsia="Times New Roman" w:hAnsi="Times New Roman" w:cs="Times New Roman"/>
                <w:lang w:val="uk-UA"/>
              </w:rPr>
              <w:t>рішення:</w:t>
            </w:r>
          </w:p>
        </w:tc>
      </w:tr>
      <w:tr w:rsidR="00CA6D12" w:rsidRPr="004229C1" w14:paraId="4A95E3D4" w14:textId="77777777" w:rsidTr="00FA3E07">
        <w:trPr>
          <w:trHeight w:val="699"/>
        </w:trPr>
        <w:tc>
          <w:tcPr>
            <w:tcW w:w="1884" w:type="pct"/>
          </w:tcPr>
          <w:p w14:paraId="35A833AC" w14:textId="77777777" w:rsidR="00CA6D12" w:rsidRPr="004229C1" w:rsidRDefault="00CA6D12" w:rsidP="00FA3E07">
            <w:pPr>
              <w:ind w:left="11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Питання</w:t>
            </w:r>
            <w:r w:rsidRPr="004229C1">
              <w:rPr>
                <w:rFonts w:ascii="Times New Roman" w:eastAsia="Times New Roman" w:hAnsi="Times New Roman" w:cs="Times New Roman"/>
                <w:spacing w:val="-3"/>
                <w:lang w:val="uk-UA"/>
              </w:rPr>
              <w:t xml:space="preserve"> </w:t>
            </w:r>
            <w:r w:rsidRPr="004229C1">
              <w:rPr>
                <w:rFonts w:ascii="Times New Roman" w:eastAsia="Times New Roman" w:hAnsi="Times New Roman" w:cs="Times New Roman"/>
                <w:lang w:val="uk-UA"/>
              </w:rPr>
              <w:t>1. Про затвердження Політики винагороди АТ «ПРАВЕКС БАНК» (2024)</w:t>
            </w:r>
          </w:p>
        </w:tc>
        <w:tc>
          <w:tcPr>
            <w:tcW w:w="3116" w:type="pct"/>
          </w:tcPr>
          <w:p w14:paraId="10D3102C" w14:textId="77777777" w:rsidR="00CA6D12" w:rsidRPr="004229C1" w:rsidRDefault="00CA6D12" w:rsidP="00FA3E07">
            <w:pPr>
              <w:ind w:left="107"/>
              <w:jc w:val="both"/>
              <w:rPr>
                <w:rFonts w:ascii="Times New Roman" w:eastAsia="Calibri" w:hAnsi="Times New Roman" w:cs="Times New Roman"/>
                <w:b/>
                <w:lang w:val="uk-UA"/>
              </w:rPr>
            </w:pPr>
            <w:r w:rsidRPr="004229C1">
              <w:rPr>
                <w:rFonts w:ascii="Times New Roman" w:eastAsia="Calibri" w:hAnsi="Times New Roman" w:cs="Times New Roman"/>
                <w:lang w:val="uk-UA"/>
              </w:rPr>
              <w:t>Прийняте рішення:</w:t>
            </w:r>
          </w:p>
          <w:p w14:paraId="0C2034CA" w14:textId="77777777" w:rsidR="00CA6D12" w:rsidRPr="004229C1" w:rsidRDefault="00CA6D12" w:rsidP="00FA3E07">
            <w:pPr>
              <w:ind w:left="107"/>
              <w:jc w:val="both"/>
              <w:rPr>
                <w:rFonts w:ascii="Times New Roman" w:eastAsia="Times New Roman" w:hAnsi="Times New Roman" w:cs="Times New Roman"/>
                <w:b/>
                <w:lang w:val="uk-UA"/>
              </w:rPr>
            </w:pPr>
            <w:r w:rsidRPr="004229C1">
              <w:rPr>
                <w:rFonts w:ascii="Times New Roman" w:eastAsia="Calibri" w:hAnsi="Times New Roman" w:cs="Times New Roman"/>
                <w:lang w:val="uk-UA"/>
              </w:rPr>
              <w:t>1. Затвердити Політику винагороди АТ «ПРАВЕКС БАНК» (2024) (в частині винагороди Наглядової Ради) (Додаток 1).</w:t>
            </w:r>
          </w:p>
        </w:tc>
      </w:tr>
      <w:tr w:rsidR="00CA6D12" w:rsidRPr="004229C1" w14:paraId="6BB38EE7" w14:textId="77777777" w:rsidTr="00FA3E07">
        <w:trPr>
          <w:trHeight w:val="580"/>
        </w:trPr>
        <w:tc>
          <w:tcPr>
            <w:tcW w:w="1884" w:type="pct"/>
          </w:tcPr>
          <w:p w14:paraId="73520990" w14:textId="77777777" w:rsidR="00CA6D12" w:rsidRPr="004229C1" w:rsidRDefault="00CA6D12" w:rsidP="00FA3E07">
            <w:pPr>
              <w:ind w:left="110"/>
              <w:jc w:val="both"/>
              <w:rPr>
                <w:rFonts w:ascii="Times New Roman" w:eastAsia="Times New Roman" w:hAnsi="Times New Roman" w:cs="Times New Roman"/>
                <w:lang w:val="uk-UA"/>
              </w:rPr>
            </w:pPr>
            <w:r w:rsidRPr="004229C1">
              <w:rPr>
                <w:rFonts w:ascii="Times New Roman" w:eastAsia="Times New Roman" w:hAnsi="Times New Roman" w:cs="Times New Roman"/>
                <w:lang w:val="uk-UA"/>
              </w:rPr>
              <w:t>URL-адреса</w:t>
            </w:r>
            <w:r w:rsidRPr="004229C1">
              <w:rPr>
                <w:rFonts w:ascii="Times New Roman" w:eastAsia="Times New Roman" w:hAnsi="Times New Roman" w:cs="Times New Roman"/>
                <w:spacing w:val="32"/>
                <w:lang w:val="uk-UA"/>
              </w:rPr>
              <w:t xml:space="preserve"> </w:t>
            </w:r>
            <w:r w:rsidRPr="004229C1">
              <w:rPr>
                <w:rFonts w:ascii="Times New Roman" w:eastAsia="Times New Roman" w:hAnsi="Times New Roman" w:cs="Times New Roman"/>
                <w:lang w:val="uk-UA"/>
              </w:rPr>
              <w:t>протоколу</w:t>
            </w:r>
            <w:r w:rsidRPr="004229C1">
              <w:rPr>
                <w:rFonts w:ascii="Times New Roman" w:eastAsia="Times New Roman" w:hAnsi="Times New Roman" w:cs="Times New Roman"/>
                <w:spacing w:val="27"/>
                <w:lang w:val="uk-UA"/>
              </w:rPr>
              <w:t xml:space="preserve"> </w:t>
            </w:r>
            <w:r w:rsidRPr="004229C1">
              <w:rPr>
                <w:rFonts w:ascii="Times New Roman" w:eastAsia="Times New Roman" w:hAnsi="Times New Roman" w:cs="Times New Roman"/>
                <w:lang w:val="uk-UA"/>
              </w:rPr>
              <w:t>загальних</w:t>
            </w:r>
            <w:r w:rsidRPr="004229C1">
              <w:rPr>
                <w:rFonts w:ascii="Times New Roman" w:eastAsia="Times New Roman" w:hAnsi="Times New Roman" w:cs="Times New Roman"/>
                <w:spacing w:val="-47"/>
                <w:lang w:val="uk-UA"/>
              </w:rPr>
              <w:t xml:space="preserve"> </w:t>
            </w:r>
            <w:r w:rsidRPr="004229C1">
              <w:rPr>
                <w:rFonts w:ascii="Times New Roman" w:eastAsia="Times New Roman" w:hAnsi="Times New Roman" w:cs="Times New Roman"/>
                <w:lang w:val="uk-UA"/>
              </w:rPr>
              <w:t>зборів:</w:t>
            </w:r>
          </w:p>
        </w:tc>
        <w:tc>
          <w:tcPr>
            <w:tcW w:w="3116" w:type="pct"/>
          </w:tcPr>
          <w:p w14:paraId="2D45D971" w14:textId="73E128FF" w:rsidR="00CA6D12" w:rsidRPr="004229C1" w:rsidRDefault="002B4288" w:rsidP="00FA3E07">
            <w:pPr>
              <w:jc w:val="both"/>
              <w:rPr>
                <w:rFonts w:ascii="Times New Roman" w:eastAsia="Times New Roman" w:hAnsi="Times New Roman" w:cs="Times New Roman"/>
                <w:b/>
                <w:lang w:val="uk-UA"/>
              </w:rPr>
            </w:pPr>
            <w:hyperlink r:id="rId32" w:history="1">
              <w:r w:rsidRPr="004229C1">
                <w:rPr>
                  <w:rStyle w:val="Hyperlink"/>
                  <w:rFonts w:ascii="Times New Roman" w:eastAsia="Times New Roman" w:hAnsi="Times New Roman" w:cs="Times New Roman"/>
                  <w:lang w:val="uk-UA"/>
                </w:rPr>
                <w:t>https://www.pravex.com.ua/storage/files/rishennya-akcionera-6-12_1734436412.rar</w:t>
              </w:r>
            </w:hyperlink>
            <w:r w:rsidRPr="004229C1">
              <w:rPr>
                <w:rFonts w:ascii="Times New Roman" w:eastAsia="Times New Roman" w:hAnsi="Times New Roman" w:cs="Times New Roman"/>
                <w:lang w:val="uk-UA"/>
              </w:rPr>
              <w:t xml:space="preserve"> </w:t>
            </w:r>
          </w:p>
        </w:tc>
      </w:tr>
    </w:tbl>
    <w:p w14:paraId="4912506F" w14:textId="77777777" w:rsidR="00CA6D12" w:rsidRPr="004229C1" w:rsidRDefault="00CA6D12">
      <w:pPr>
        <w:widowControl w:val="0"/>
        <w:autoSpaceDE w:val="0"/>
        <w:autoSpaceDN w:val="0"/>
        <w:adjustRightInd w:val="0"/>
        <w:spacing w:after="0" w:line="240" w:lineRule="auto"/>
        <w:rPr>
          <w:rFonts w:ascii="Times New Roman" w:hAnsi="Times New Roman" w:cs="Times New Roman"/>
          <w:kern w:val="0"/>
          <w:lang w:val="uk-UA"/>
        </w:rPr>
      </w:pPr>
    </w:p>
    <w:p w14:paraId="20C681C6"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4F59696C"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6B1D5B66"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50A88228"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781D6EBD"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37888E34"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5F168937" w14:textId="77777777" w:rsidR="002B4288" w:rsidRPr="004229C1" w:rsidRDefault="002B4288">
      <w:pPr>
        <w:widowControl w:val="0"/>
        <w:autoSpaceDE w:val="0"/>
        <w:autoSpaceDN w:val="0"/>
        <w:adjustRightInd w:val="0"/>
        <w:spacing w:after="0" w:line="240" w:lineRule="auto"/>
        <w:rPr>
          <w:rFonts w:ascii="Times New Roman" w:hAnsi="Times New Roman" w:cs="Times New Roman"/>
          <w:kern w:val="0"/>
          <w:lang w:val="uk-UA"/>
        </w:rPr>
      </w:pPr>
    </w:p>
    <w:p w14:paraId="40D68BAA"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Частина 4. Рада</w:t>
      </w:r>
    </w:p>
    <w:p w14:paraId="01B8D2C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Персональний склад ради та її комітетів</w:t>
      </w:r>
    </w:p>
    <w:tbl>
      <w:tblPr>
        <w:tblW w:w="5081" w:type="pct"/>
        <w:tblInd w:w="13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3320"/>
        <w:gridCol w:w="1784"/>
        <w:gridCol w:w="1427"/>
        <w:gridCol w:w="2138"/>
        <w:gridCol w:w="1949"/>
      </w:tblGrid>
      <w:tr w:rsidR="00CA6D12" w:rsidRPr="004229C1" w14:paraId="4F90AD18" w14:textId="77777777" w:rsidTr="00FA3E07">
        <w:trPr>
          <w:trHeight w:val="439"/>
        </w:trPr>
        <w:tc>
          <w:tcPr>
            <w:tcW w:w="1563" w:type="pct"/>
            <w:vMerge w:val="restart"/>
            <w:tcBorders>
              <w:top w:val="outset" w:sz="6" w:space="0" w:color="auto"/>
              <w:bottom w:val="outset" w:sz="6" w:space="0" w:color="auto"/>
              <w:right w:val="outset" w:sz="6" w:space="0" w:color="auto"/>
            </w:tcBorders>
            <w:tcMar>
              <w:top w:w="0" w:type="dxa"/>
              <w:left w:w="0" w:type="dxa"/>
              <w:bottom w:w="0" w:type="dxa"/>
              <w:right w:w="0" w:type="dxa"/>
            </w:tcMar>
            <w:vAlign w:val="center"/>
            <w:hideMark/>
          </w:tcPr>
          <w:p w14:paraId="1D21E323"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Ім'я, прізвище члена НР, термін повноважень у звітному періоді</w:t>
            </w:r>
          </w:p>
        </w:tc>
        <w:tc>
          <w:tcPr>
            <w:tcW w:w="84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13678B"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Голова НР (X)/Заступник Голови НР (Y)</w:t>
            </w:r>
          </w:p>
          <w:p w14:paraId="5B78115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2598" w:type="pct"/>
            <w:gridSpan w:val="3"/>
            <w:tcBorders>
              <w:top w:val="outset" w:sz="6" w:space="0" w:color="auto"/>
              <w:left w:val="outset" w:sz="6" w:space="0" w:color="auto"/>
              <w:bottom w:val="outset" w:sz="6" w:space="0" w:color="auto"/>
            </w:tcBorders>
            <w:tcMar>
              <w:top w:w="0" w:type="dxa"/>
              <w:left w:w="0" w:type="dxa"/>
              <w:bottom w:w="0" w:type="dxa"/>
              <w:right w:w="0" w:type="dxa"/>
            </w:tcMar>
            <w:vAlign w:val="center"/>
            <w:hideMark/>
          </w:tcPr>
          <w:p w14:paraId="283D37C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Голова (X)/Член НР (V)</w:t>
            </w:r>
          </w:p>
        </w:tc>
      </w:tr>
      <w:tr w:rsidR="00CA6D12" w:rsidRPr="004229C1" w14:paraId="54053737" w14:textId="77777777" w:rsidTr="00FA3E07">
        <w:trPr>
          <w:trHeight w:val="127"/>
        </w:trPr>
        <w:tc>
          <w:tcPr>
            <w:tcW w:w="1563" w:type="pct"/>
            <w:vMerge/>
            <w:tcBorders>
              <w:top w:val="outset" w:sz="6" w:space="0" w:color="auto"/>
              <w:bottom w:val="outset" w:sz="6" w:space="0" w:color="auto"/>
              <w:right w:val="outset" w:sz="6" w:space="0" w:color="auto"/>
            </w:tcBorders>
            <w:vAlign w:val="center"/>
            <w:hideMark/>
          </w:tcPr>
          <w:p w14:paraId="7C4D6495"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840" w:type="pct"/>
            <w:vMerge/>
            <w:tcBorders>
              <w:top w:val="outset" w:sz="6" w:space="0" w:color="auto"/>
              <w:left w:val="outset" w:sz="6" w:space="0" w:color="auto"/>
              <w:bottom w:val="outset" w:sz="6" w:space="0" w:color="auto"/>
              <w:right w:val="outset" w:sz="6" w:space="0" w:color="auto"/>
            </w:tcBorders>
            <w:vAlign w:val="center"/>
            <w:hideMark/>
          </w:tcPr>
          <w:p w14:paraId="4018936D"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DC9AA3"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Комітет з питань аудиту (КПА)</w:t>
            </w: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F25111D"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Комітет з управління ризиками (КУР)</w:t>
            </w:r>
          </w:p>
        </w:tc>
        <w:tc>
          <w:tcPr>
            <w:tcW w:w="919" w:type="pct"/>
            <w:tcBorders>
              <w:top w:val="outset" w:sz="6" w:space="0" w:color="auto"/>
              <w:left w:val="outset" w:sz="6" w:space="0" w:color="auto"/>
              <w:bottom w:val="outset" w:sz="6" w:space="0" w:color="auto"/>
            </w:tcBorders>
          </w:tcPr>
          <w:p w14:paraId="7C0E84AF"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Комітет з винагород і призначень (КВП)</w:t>
            </w:r>
          </w:p>
        </w:tc>
      </w:tr>
      <w:tr w:rsidR="00CA6D12" w:rsidRPr="004229C1" w14:paraId="3CCC70F0" w14:textId="77777777" w:rsidTr="00FA3E07">
        <w:trPr>
          <w:trHeight w:val="219"/>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hideMark/>
          </w:tcPr>
          <w:p w14:paraId="67242CBE"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r w:rsidRPr="004229C1">
              <w:rPr>
                <w:rFonts w:ascii="Times New Roman" w:eastAsia="Calibri" w:hAnsi="Times New Roman" w:cs="Times New Roman"/>
                <w:bCs/>
                <w:sz w:val="22"/>
                <w:szCs w:val="22"/>
                <w:lang w:val="uk-UA"/>
              </w:rPr>
              <w:t xml:space="preserve">Сільвіо </w:t>
            </w:r>
            <w:proofErr w:type="spellStart"/>
            <w:r w:rsidRPr="004229C1">
              <w:rPr>
                <w:rFonts w:ascii="Times New Roman" w:eastAsia="Calibri" w:hAnsi="Times New Roman" w:cs="Times New Roman"/>
                <w:bCs/>
                <w:sz w:val="22"/>
                <w:szCs w:val="22"/>
                <w:lang w:val="uk-UA"/>
              </w:rPr>
              <w:t>Педрацці</w:t>
            </w:r>
            <w:proofErr w:type="spellEnd"/>
            <w:r w:rsidRPr="004229C1">
              <w:rPr>
                <w:rFonts w:ascii="Times New Roman" w:eastAsia="Calibri" w:hAnsi="Times New Roman" w:cs="Times New Roman"/>
                <w:bCs/>
                <w:sz w:val="22"/>
                <w:szCs w:val="22"/>
                <w:lang w:val="uk-UA"/>
              </w:rPr>
              <w:t xml:space="preserve"> </w:t>
            </w:r>
            <w:r w:rsidRPr="004229C1">
              <w:rPr>
                <w:rFonts w:ascii="Times New Roman" w:eastAsia="Calibri" w:hAnsi="Times New Roman" w:cs="Times New Roman"/>
                <w:sz w:val="22"/>
                <w:szCs w:val="22"/>
                <w:lang w:val="uk-UA"/>
              </w:rPr>
              <w:t>(01.01.2024-31.12.2024)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D56736"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X</w:t>
            </w: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2E57BEE"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8D00FEF"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919" w:type="pct"/>
            <w:tcBorders>
              <w:top w:val="outset" w:sz="6" w:space="0" w:color="auto"/>
              <w:left w:val="outset" w:sz="6" w:space="0" w:color="auto"/>
              <w:bottom w:val="outset" w:sz="6" w:space="0" w:color="auto"/>
            </w:tcBorders>
          </w:tcPr>
          <w:p w14:paraId="41001FB0"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r>
      <w:tr w:rsidR="00CA6D12" w:rsidRPr="004229C1" w14:paraId="0E4E230F" w14:textId="77777777" w:rsidTr="00FA3E07">
        <w:trPr>
          <w:trHeight w:val="432"/>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hideMark/>
          </w:tcPr>
          <w:p w14:paraId="0A158467"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proofErr w:type="spellStart"/>
            <w:r w:rsidRPr="004229C1">
              <w:rPr>
                <w:rFonts w:ascii="Times New Roman" w:eastAsia="Calibri" w:hAnsi="Times New Roman" w:cs="Times New Roman"/>
                <w:bCs/>
                <w:sz w:val="22"/>
                <w:szCs w:val="22"/>
                <w:lang w:val="uk-UA"/>
              </w:rPr>
              <w:t>Коррадо</w:t>
            </w:r>
            <w:proofErr w:type="spellEnd"/>
            <w:r w:rsidRPr="004229C1">
              <w:rPr>
                <w:rFonts w:ascii="Times New Roman" w:eastAsia="Calibri" w:hAnsi="Times New Roman" w:cs="Times New Roman"/>
                <w:bCs/>
                <w:sz w:val="22"/>
                <w:szCs w:val="22"/>
                <w:lang w:val="uk-UA"/>
              </w:rPr>
              <w:t xml:space="preserve"> </w:t>
            </w:r>
            <w:proofErr w:type="spellStart"/>
            <w:r w:rsidRPr="004229C1">
              <w:rPr>
                <w:rFonts w:ascii="Times New Roman" w:eastAsia="Calibri" w:hAnsi="Times New Roman" w:cs="Times New Roman"/>
                <w:bCs/>
                <w:sz w:val="22"/>
                <w:szCs w:val="22"/>
                <w:lang w:val="uk-UA"/>
              </w:rPr>
              <w:t>П'єтро</w:t>
            </w:r>
            <w:proofErr w:type="spellEnd"/>
            <w:r w:rsidRPr="004229C1">
              <w:rPr>
                <w:rFonts w:ascii="Times New Roman" w:eastAsia="Calibri" w:hAnsi="Times New Roman" w:cs="Times New Roman"/>
                <w:bCs/>
                <w:sz w:val="22"/>
                <w:szCs w:val="22"/>
                <w:lang w:val="uk-UA"/>
              </w:rPr>
              <w:t xml:space="preserve"> Марія </w:t>
            </w:r>
            <w:proofErr w:type="spellStart"/>
            <w:r w:rsidRPr="004229C1">
              <w:rPr>
                <w:rFonts w:ascii="Times New Roman" w:eastAsia="Calibri" w:hAnsi="Times New Roman" w:cs="Times New Roman"/>
                <w:bCs/>
                <w:sz w:val="22"/>
                <w:szCs w:val="22"/>
                <w:lang w:val="uk-UA"/>
              </w:rPr>
              <w:t>Казаліно</w:t>
            </w:r>
            <w:proofErr w:type="spellEnd"/>
            <w:r w:rsidRPr="004229C1">
              <w:rPr>
                <w:rFonts w:ascii="Times New Roman" w:eastAsia="Calibri" w:hAnsi="Times New Roman" w:cs="Times New Roman"/>
                <w:bCs/>
                <w:sz w:val="22"/>
                <w:szCs w:val="22"/>
                <w:lang w:val="uk-UA"/>
              </w:rPr>
              <w:t xml:space="preserve"> (незалежний член</w:t>
            </w:r>
            <w:r w:rsidRPr="004229C1">
              <w:rPr>
                <w:rFonts w:ascii="Times New Roman" w:eastAsia="Calibri" w:hAnsi="Times New Roman" w:cs="Times New Roman"/>
                <w:sz w:val="22"/>
                <w:szCs w:val="22"/>
                <w:lang w:val="uk-UA"/>
              </w:rPr>
              <w:t>) (01.01.2024-31.12.2024)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851564"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Y</w:t>
            </w: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A92A373"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X</w:t>
            </w: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6955204"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c>
          <w:tcPr>
            <w:tcW w:w="919" w:type="pct"/>
            <w:tcBorders>
              <w:top w:val="outset" w:sz="6" w:space="0" w:color="auto"/>
              <w:left w:val="outset" w:sz="6" w:space="0" w:color="auto"/>
              <w:bottom w:val="outset" w:sz="6" w:space="0" w:color="auto"/>
            </w:tcBorders>
          </w:tcPr>
          <w:p w14:paraId="797811C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r>
      <w:tr w:rsidR="00CA6D12" w:rsidRPr="004229C1" w14:paraId="020A2825" w14:textId="77777777" w:rsidTr="00FA3E07">
        <w:trPr>
          <w:trHeight w:val="219"/>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tcPr>
          <w:p w14:paraId="66A3B95C"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proofErr w:type="spellStart"/>
            <w:r w:rsidRPr="004229C1">
              <w:rPr>
                <w:rFonts w:ascii="Times New Roman" w:eastAsia="Calibri" w:hAnsi="Times New Roman" w:cs="Times New Roman"/>
                <w:bCs/>
                <w:sz w:val="22"/>
                <w:szCs w:val="22"/>
                <w:lang w:val="uk-UA"/>
              </w:rPr>
              <w:t>Фабріціо</w:t>
            </w:r>
            <w:proofErr w:type="spellEnd"/>
            <w:r w:rsidRPr="004229C1">
              <w:rPr>
                <w:rFonts w:ascii="Times New Roman" w:eastAsia="Calibri" w:hAnsi="Times New Roman" w:cs="Times New Roman"/>
                <w:bCs/>
                <w:sz w:val="22"/>
                <w:szCs w:val="22"/>
                <w:lang w:val="uk-UA"/>
              </w:rPr>
              <w:t xml:space="preserve"> </w:t>
            </w:r>
            <w:proofErr w:type="spellStart"/>
            <w:r w:rsidRPr="004229C1">
              <w:rPr>
                <w:rFonts w:ascii="Times New Roman" w:eastAsia="Calibri" w:hAnsi="Times New Roman" w:cs="Times New Roman"/>
                <w:bCs/>
                <w:sz w:val="22"/>
                <w:szCs w:val="22"/>
                <w:lang w:val="uk-UA"/>
              </w:rPr>
              <w:t>Маллен</w:t>
            </w:r>
            <w:proofErr w:type="spellEnd"/>
            <w:r w:rsidRPr="004229C1">
              <w:rPr>
                <w:rFonts w:ascii="Times New Roman" w:eastAsia="Calibri" w:hAnsi="Times New Roman" w:cs="Times New Roman"/>
                <w:bCs/>
                <w:sz w:val="22"/>
                <w:szCs w:val="22"/>
                <w:lang w:val="uk-UA"/>
              </w:rPr>
              <w:t xml:space="preserve"> (незалежний член</w:t>
            </w:r>
            <w:r w:rsidRPr="004229C1">
              <w:rPr>
                <w:rFonts w:ascii="Times New Roman" w:eastAsia="Calibri" w:hAnsi="Times New Roman" w:cs="Times New Roman"/>
                <w:sz w:val="22"/>
                <w:szCs w:val="22"/>
                <w:lang w:val="uk-UA"/>
              </w:rPr>
              <w:t>) (01.01.2024-31.12.2024)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320AE02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6645266E"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5E03F0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X</w:t>
            </w:r>
          </w:p>
        </w:tc>
        <w:tc>
          <w:tcPr>
            <w:tcW w:w="919" w:type="pct"/>
            <w:tcBorders>
              <w:top w:val="outset" w:sz="6" w:space="0" w:color="auto"/>
              <w:left w:val="outset" w:sz="6" w:space="0" w:color="auto"/>
              <w:bottom w:val="outset" w:sz="6" w:space="0" w:color="auto"/>
            </w:tcBorders>
          </w:tcPr>
          <w:p w14:paraId="06DDB234"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r>
      <w:tr w:rsidR="00CA6D12" w:rsidRPr="004229C1" w14:paraId="03BC2716" w14:textId="77777777" w:rsidTr="00FA3E07">
        <w:trPr>
          <w:trHeight w:val="219"/>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tcPr>
          <w:p w14:paraId="5AB2D035"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r w:rsidRPr="004229C1">
              <w:rPr>
                <w:rFonts w:ascii="Times New Roman" w:eastAsia="Calibri" w:hAnsi="Times New Roman" w:cs="Times New Roman"/>
                <w:bCs/>
                <w:sz w:val="22"/>
                <w:szCs w:val="22"/>
                <w:lang w:val="uk-UA"/>
              </w:rPr>
              <w:t xml:space="preserve">Лаура </w:t>
            </w:r>
            <w:proofErr w:type="spellStart"/>
            <w:r w:rsidRPr="004229C1">
              <w:rPr>
                <w:rFonts w:ascii="Times New Roman" w:eastAsia="Calibri" w:hAnsi="Times New Roman" w:cs="Times New Roman"/>
                <w:bCs/>
                <w:sz w:val="22"/>
                <w:szCs w:val="22"/>
                <w:lang w:val="uk-UA"/>
              </w:rPr>
              <w:t>Феббраро</w:t>
            </w:r>
            <w:proofErr w:type="spellEnd"/>
            <w:r w:rsidRPr="004229C1">
              <w:rPr>
                <w:rFonts w:ascii="Times New Roman" w:eastAsia="Calibri" w:hAnsi="Times New Roman" w:cs="Times New Roman"/>
                <w:bCs/>
                <w:sz w:val="22"/>
                <w:szCs w:val="22"/>
                <w:lang w:val="uk-UA"/>
              </w:rPr>
              <w:t xml:space="preserve"> (незалежний член</w:t>
            </w:r>
            <w:r w:rsidRPr="004229C1">
              <w:rPr>
                <w:rFonts w:ascii="Times New Roman" w:eastAsia="Calibri" w:hAnsi="Times New Roman" w:cs="Times New Roman"/>
                <w:sz w:val="22"/>
                <w:szCs w:val="22"/>
                <w:lang w:val="uk-UA"/>
              </w:rPr>
              <w:t>) (01.01.2024-31.12.2024)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18EA6703"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737E9BD4"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B2D07A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919" w:type="pct"/>
            <w:tcBorders>
              <w:top w:val="outset" w:sz="6" w:space="0" w:color="auto"/>
              <w:left w:val="outset" w:sz="6" w:space="0" w:color="auto"/>
              <w:bottom w:val="outset" w:sz="6" w:space="0" w:color="auto"/>
            </w:tcBorders>
          </w:tcPr>
          <w:p w14:paraId="698A8FD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X</w:t>
            </w:r>
          </w:p>
        </w:tc>
      </w:tr>
      <w:tr w:rsidR="00CA6D12" w:rsidRPr="004229C1" w14:paraId="6C049A87" w14:textId="77777777" w:rsidTr="00FA3E07">
        <w:trPr>
          <w:trHeight w:val="219"/>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tcPr>
          <w:p w14:paraId="64342885"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proofErr w:type="spellStart"/>
            <w:r w:rsidRPr="004229C1">
              <w:rPr>
                <w:rFonts w:ascii="Times New Roman" w:eastAsia="Calibri" w:hAnsi="Times New Roman" w:cs="Times New Roman"/>
                <w:bCs/>
                <w:sz w:val="22"/>
                <w:szCs w:val="22"/>
                <w:lang w:val="uk-UA"/>
              </w:rPr>
              <w:t>Франческо</w:t>
            </w:r>
            <w:proofErr w:type="spellEnd"/>
            <w:r w:rsidRPr="004229C1">
              <w:rPr>
                <w:rFonts w:ascii="Times New Roman" w:eastAsia="Calibri" w:hAnsi="Times New Roman" w:cs="Times New Roman"/>
                <w:bCs/>
                <w:sz w:val="22"/>
                <w:szCs w:val="22"/>
                <w:lang w:val="uk-UA"/>
              </w:rPr>
              <w:t xml:space="preserve"> </w:t>
            </w:r>
            <w:proofErr w:type="spellStart"/>
            <w:r w:rsidRPr="004229C1">
              <w:rPr>
                <w:rFonts w:ascii="Times New Roman" w:eastAsia="Calibri" w:hAnsi="Times New Roman" w:cs="Times New Roman"/>
                <w:bCs/>
                <w:sz w:val="22"/>
                <w:szCs w:val="22"/>
                <w:lang w:val="uk-UA"/>
              </w:rPr>
              <w:t>Дель</w:t>
            </w:r>
            <w:proofErr w:type="spellEnd"/>
            <w:r w:rsidRPr="004229C1">
              <w:rPr>
                <w:rFonts w:ascii="Times New Roman" w:eastAsia="Calibri" w:hAnsi="Times New Roman" w:cs="Times New Roman"/>
                <w:bCs/>
                <w:sz w:val="22"/>
                <w:szCs w:val="22"/>
                <w:lang w:val="uk-UA"/>
              </w:rPr>
              <w:t xml:space="preserve"> </w:t>
            </w:r>
            <w:proofErr w:type="spellStart"/>
            <w:r w:rsidRPr="004229C1">
              <w:rPr>
                <w:rFonts w:ascii="Times New Roman" w:eastAsia="Calibri" w:hAnsi="Times New Roman" w:cs="Times New Roman"/>
                <w:bCs/>
                <w:sz w:val="22"/>
                <w:szCs w:val="22"/>
                <w:lang w:val="uk-UA"/>
              </w:rPr>
              <w:t>Дженіо</w:t>
            </w:r>
            <w:proofErr w:type="spellEnd"/>
            <w:r w:rsidRPr="004229C1">
              <w:rPr>
                <w:rFonts w:ascii="Times New Roman" w:eastAsia="Calibri" w:hAnsi="Times New Roman" w:cs="Times New Roman"/>
                <w:bCs/>
                <w:sz w:val="22"/>
                <w:szCs w:val="22"/>
                <w:lang w:val="uk-UA"/>
              </w:rPr>
              <w:t xml:space="preserve"> </w:t>
            </w:r>
            <w:r w:rsidRPr="004229C1">
              <w:rPr>
                <w:rFonts w:ascii="Times New Roman" w:eastAsia="Calibri" w:hAnsi="Times New Roman" w:cs="Times New Roman"/>
                <w:sz w:val="22"/>
                <w:szCs w:val="22"/>
                <w:lang w:val="uk-UA"/>
              </w:rPr>
              <w:t>(01.01.2024-31.12.2024)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00352A1"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A85BBEF"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787AAAC"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c>
          <w:tcPr>
            <w:tcW w:w="919" w:type="pct"/>
            <w:tcBorders>
              <w:top w:val="outset" w:sz="6" w:space="0" w:color="auto"/>
              <w:left w:val="outset" w:sz="6" w:space="0" w:color="auto"/>
              <w:bottom w:val="outset" w:sz="6" w:space="0" w:color="auto"/>
            </w:tcBorders>
          </w:tcPr>
          <w:p w14:paraId="0AAB6314"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r>
      <w:tr w:rsidR="00CA6D12" w:rsidRPr="004229C1" w14:paraId="63A14798" w14:textId="77777777" w:rsidTr="00FA3E07">
        <w:trPr>
          <w:trHeight w:val="219"/>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tcPr>
          <w:p w14:paraId="07A929F4"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proofErr w:type="spellStart"/>
            <w:r w:rsidRPr="004229C1">
              <w:rPr>
                <w:rFonts w:ascii="Times New Roman" w:eastAsia="Calibri" w:hAnsi="Times New Roman" w:cs="Times New Roman"/>
                <w:bCs/>
                <w:sz w:val="22"/>
                <w:szCs w:val="22"/>
                <w:lang w:val="uk-UA"/>
              </w:rPr>
              <w:t>Даніела</w:t>
            </w:r>
            <w:proofErr w:type="spellEnd"/>
            <w:r w:rsidRPr="004229C1">
              <w:rPr>
                <w:rFonts w:ascii="Times New Roman" w:eastAsia="Calibri" w:hAnsi="Times New Roman" w:cs="Times New Roman"/>
                <w:bCs/>
                <w:sz w:val="22"/>
                <w:szCs w:val="22"/>
                <w:lang w:val="uk-UA"/>
              </w:rPr>
              <w:t xml:space="preserve"> </w:t>
            </w:r>
            <w:proofErr w:type="spellStart"/>
            <w:r w:rsidRPr="004229C1">
              <w:rPr>
                <w:rFonts w:ascii="Times New Roman" w:eastAsia="Calibri" w:hAnsi="Times New Roman" w:cs="Times New Roman"/>
                <w:bCs/>
                <w:sz w:val="22"/>
                <w:szCs w:val="22"/>
                <w:lang w:val="uk-UA"/>
              </w:rPr>
              <w:t>Бландіно</w:t>
            </w:r>
            <w:proofErr w:type="spellEnd"/>
            <w:r w:rsidRPr="004229C1">
              <w:rPr>
                <w:rFonts w:ascii="Times New Roman" w:eastAsia="Calibri" w:hAnsi="Times New Roman" w:cs="Times New Roman"/>
                <w:bCs/>
                <w:sz w:val="22"/>
                <w:szCs w:val="22"/>
                <w:lang w:val="uk-UA"/>
              </w:rPr>
              <w:t xml:space="preserve"> </w:t>
            </w:r>
            <w:r w:rsidRPr="004229C1">
              <w:rPr>
                <w:rFonts w:ascii="Times New Roman" w:eastAsia="Calibri" w:hAnsi="Times New Roman" w:cs="Times New Roman"/>
                <w:sz w:val="22"/>
                <w:szCs w:val="22"/>
                <w:lang w:val="uk-UA"/>
              </w:rPr>
              <w:t>(01.01.2024-31.12.2024)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7FBB2152"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8FA4305"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3E9F6F3"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919" w:type="pct"/>
            <w:tcBorders>
              <w:top w:val="outset" w:sz="6" w:space="0" w:color="auto"/>
              <w:left w:val="outset" w:sz="6" w:space="0" w:color="auto"/>
              <w:bottom w:val="outset" w:sz="6" w:space="0" w:color="auto"/>
            </w:tcBorders>
          </w:tcPr>
          <w:p w14:paraId="01B3A3D8"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r>
      <w:tr w:rsidR="00CA6D12" w:rsidRPr="004229C1" w14:paraId="7AFE8B60" w14:textId="77777777" w:rsidTr="00FA3E07">
        <w:trPr>
          <w:trHeight w:val="213"/>
        </w:trPr>
        <w:tc>
          <w:tcPr>
            <w:tcW w:w="1563" w:type="pct"/>
            <w:tcBorders>
              <w:top w:val="outset" w:sz="6" w:space="0" w:color="auto"/>
              <w:bottom w:val="outset" w:sz="6" w:space="0" w:color="auto"/>
              <w:right w:val="outset" w:sz="6" w:space="0" w:color="auto"/>
            </w:tcBorders>
            <w:tcMar>
              <w:top w:w="0" w:type="dxa"/>
              <w:left w:w="0" w:type="dxa"/>
              <w:bottom w:w="0" w:type="dxa"/>
              <w:right w:w="0" w:type="dxa"/>
            </w:tcMar>
            <w:vAlign w:val="center"/>
          </w:tcPr>
          <w:p w14:paraId="3D447FEB" w14:textId="77777777" w:rsidR="00CA6D12" w:rsidRPr="004229C1" w:rsidRDefault="00CA6D12" w:rsidP="00FA3E07">
            <w:pPr>
              <w:spacing w:line="240" w:lineRule="auto"/>
              <w:jc w:val="both"/>
              <w:rPr>
                <w:rFonts w:ascii="Times New Roman" w:eastAsia="Calibri" w:hAnsi="Times New Roman" w:cs="Times New Roman"/>
                <w:bCs/>
                <w:sz w:val="22"/>
                <w:szCs w:val="22"/>
                <w:lang w:val="uk-UA"/>
              </w:rPr>
            </w:pPr>
            <w:proofErr w:type="spellStart"/>
            <w:r w:rsidRPr="004229C1">
              <w:rPr>
                <w:rFonts w:ascii="Times New Roman" w:eastAsia="Calibri" w:hAnsi="Times New Roman" w:cs="Times New Roman"/>
                <w:bCs/>
                <w:sz w:val="22"/>
                <w:szCs w:val="22"/>
                <w:lang w:val="uk-UA"/>
              </w:rPr>
              <w:t>Антоніо</w:t>
            </w:r>
            <w:proofErr w:type="spellEnd"/>
            <w:r w:rsidRPr="004229C1">
              <w:rPr>
                <w:rFonts w:ascii="Times New Roman" w:eastAsia="Calibri" w:hAnsi="Times New Roman" w:cs="Times New Roman"/>
                <w:bCs/>
                <w:sz w:val="22"/>
                <w:szCs w:val="22"/>
                <w:lang w:val="uk-UA"/>
              </w:rPr>
              <w:t xml:space="preserve"> Джованні Марія </w:t>
            </w:r>
            <w:proofErr w:type="spellStart"/>
            <w:r w:rsidRPr="004229C1">
              <w:rPr>
                <w:rFonts w:ascii="Times New Roman" w:eastAsia="Calibri" w:hAnsi="Times New Roman" w:cs="Times New Roman"/>
                <w:bCs/>
                <w:sz w:val="22"/>
                <w:szCs w:val="22"/>
                <w:lang w:val="uk-UA"/>
              </w:rPr>
              <w:t>Бергаліо</w:t>
            </w:r>
            <w:proofErr w:type="spellEnd"/>
            <w:r w:rsidRPr="004229C1">
              <w:rPr>
                <w:rFonts w:ascii="Times New Roman" w:eastAsia="Calibri" w:hAnsi="Times New Roman" w:cs="Times New Roman"/>
                <w:bCs/>
                <w:sz w:val="22"/>
                <w:szCs w:val="22"/>
                <w:lang w:val="uk-UA"/>
              </w:rPr>
              <w:t xml:space="preserve"> </w:t>
            </w:r>
            <w:r w:rsidRPr="004229C1">
              <w:rPr>
                <w:rFonts w:ascii="Times New Roman" w:eastAsia="Calibri" w:hAnsi="Times New Roman" w:cs="Times New Roman"/>
                <w:sz w:val="22"/>
                <w:szCs w:val="22"/>
                <w:lang w:val="uk-UA"/>
              </w:rPr>
              <w:t>(01.01.2024-31.12.2024)</w:t>
            </w:r>
          </w:p>
        </w:tc>
        <w:tc>
          <w:tcPr>
            <w:tcW w:w="8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7EC21DB"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67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8DB8CFA"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V</w:t>
            </w:r>
          </w:p>
        </w:tc>
        <w:tc>
          <w:tcPr>
            <w:tcW w:w="10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69BC120F"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c>
          <w:tcPr>
            <w:tcW w:w="919" w:type="pct"/>
            <w:tcBorders>
              <w:top w:val="outset" w:sz="6" w:space="0" w:color="auto"/>
              <w:left w:val="outset" w:sz="6" w:space="0" w:color="auto"/>
              <w:bottom w:val="outset" w:sz="6" w:space="0" w:color="auto"/>
            </w:tcBorders>
          </w:tcPr>
          <w:p w14:paraId="6F0DAEF9" w14:textId="77777777" w:rsidR="00CA6D12" w:rsidRPr="004229C1" w:rsidRDefault="00CA6D12" w:rsidP="00FA3E07">
            <w:pPr>
              <w:spacing w:line="240" w:lineRule="auto"/>
              <w:jc w:val="both"/>
              <w:rPr>
                <w:rFonts w:ascii="Times New Roman" w:eastAsia="Calibri" w:hAnsi="Times New Roman" w:cs="Times New Roman"/>
                <w:b/>
                <w:sz w:val="22"/>
                <w:szCs w:val="22"/>
                <w:lang w:val="uk-UA"/>
              </w:rPr>
            </w:pPr>
          </w:p>
        </w:tc>
      </w:tr>
    </w:tbl>
    <w:p w14:paraId="7329940E" w14:textId="77777777" w:rsidR="00CA6D12" w:rsidRPr="004229C1" w:rsidRDefault="00CA6D12">
      <w:pPr>
        <w:widowControl w:val="0"/>
        <w:autoSpaceDE w:val="0"/>
        <w:autoSpaceDN w:val="0"/>
        <w:adjustRightInd w:val="0"/>
        <w:spacing w:after="0" w:line="240" w:lineRule="auto"/>
        <w:jc w:val="center"/>
        <w:rPr>
          <w:rFonts w:ascii="Times New Roman" w:hAnsi="Times New Roman" w:cs="Times New Roman"/>
          <w:kern w:val="0"/>
          <w:lang w:val="uk-UA"/>
        </w:rPr>
      </w:pPr>
    </w:p>
    <w:p w14:paraId="04DF103C" w14:textId="77777777" w:rsidR="00E1523D" w:rsidRPr="004229C1" w:rsidRDefault="00E1523D">
      <w:pPr>
        <w:widowControl w:val="0"/>
        <w:autoSpaceDE w:val="0"/>
        <w:autoSpaceDN w:val="0"/>
        <w:adjustRightInd w:val="0"/>
        <w:spacing w:after="0" w:line="240" w:lineRule="auto"/>
        <w:rPr>
          <w:rFonts w:ascii="Times New Roman" w:hAnsi="Times New Roman" w:cs="Times New Roman"/>
          <w:kern w:val="0"/>
          <w:sz w:val="22"/>
          <w:szCs w:val="22"/>
          <w:lang w:val="uk-UA"/>
        </w:rPr>
      </w:pPr>
    </w:p>
    <w:p w14:paraId="533D08A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проведені засідання ради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8000"/>
      </w:tblGrid>
      <w:tr w:rsidR="00CA6D12" w:rsidRPr="004229C1" w14:paraId="6634AE11" w14:textId="77777777">
        <w:trPr>
          <w:trHeight w:val="200"/>
        </w:trPr>
        <w:tc>
          <w:tcPr>
            <w:tcW w:w="2000" w:type="dxa"/>
            <w:tcBorders>
              <w:top w:val="single" w:sz="6" w:space="0" w:color="auto"/>
              <w:bottom w:val="single" w:sz="6" w:space="0" w:color="auto"/>
              <w:right w:val="single" w:sz="6" w:space="0" w:color="auto"/>
            </w:tcBorders>
          </w:tcPr>
          <w:p w14:paraId="6781A836" w14:textId="681093CC"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Кількість засідань за звітний період</w:t>
            </w:r>
          </w:p>
        </w:tc>
        <w:tc>
          <w:tcPr>
            <w:tcW w:w="8000" w:type="dxa"/>
            <w:tcBorders>
              <w:top w:val="single" w:sz="6" w:space="0" w:color="auto"/>
              <w:left w:val="single" w:sz="6" w:space="0" w:color="auto"/>
              <w:bottom w:val="single" w:sz="6" w:space="0" w:color="auto"/>
            </w:tcBorders>
          </w:tcPr>
          <w:p w14:paraId="741F0CA3" w14:textId="0D26A623"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28</w:t>
            </w:r>
          </w:p>
        </w:tc>
      </w:tr>
      <w:tr w:rsidR="00CA6D12" w:rsidRPr="004229C1" w14:paraId="42803C76" w14:textId="77777777">
        <w:trPr>
          <w:trHeight w:val="200"/>
        </w:trPr>
        <w:tc>
          <w:tcPr>
            <w:tcW w:w="2000" w:type="dxa"/>
            <w:tcBorders>
              <w:top w:val="single" w:sz="6" w:space="0" w:color="auto"/>
              <w:bottom w:val="single" w:sz="6" w:space="0" w:color="auto"/>
              <w:right w:val="single" w:sz="6" w:space="0" w:color="auto"/>
            </w:tcBorders>
          </w:tcPr>
          <w:p w14:paraId="0E06AEE6" w14:textId="53A7443A"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 xml:space="preserve">шляхом безпосередньої участі </w:t>
            </w:r>
          </w:p>
        </w:tc>
        <w:tc>
          <w:tcPr>
            <w:tcW w:w="8000" w:type="dxa"/>
            <w:tcBorders>
              <w:top w:val="single" w:sz="6" w:space="0" w:color="auto"/>
              <w:left w:val="single" w:sz="6" w:space="0" w:color="auto"/>
              <w:bottom w:val="single" w:sz="6" w:space="0" w:color="auto"/>
            </w:tcBorders>
          </w:tcPr>
          <w:p w14:paraId="31707689" w14:textId="0C51FEF5"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17</w:t>
            </w:r>
          </w:p>
        </w:tc>
      </w:tr>
      <w:tr w:rsidR="00CA6D12" w:rsidRPr="004229C1" w14:paraId="076F3122" w14:textId="77777777">
        <w:trPr>
          <w:trHeight w:val="200"/>
        </w:trPr>
        <w:tc>
          <w:tcPr>
            <w:tcW w:w="2000" w:type="dxa"/>
            <w:tcBorders>
              <w:top w:val="single" w:sz="6" w:space="0" w:color="auto"/>
              <w:bottom w:val="single" w:sz="6" w:space="0" w:color="auto"/>
              <w:right w:val="single" w:sz="6" w:space="0" w:color="auto"/>
            </w:tcBorders>
          </w:tcPr>
          <w:p w14:paraId="4C9C5AC6" w14:textId="09D4A36D"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шляхом опитування</w:t>
            </w:r>
          </w:p>
        </w:tc>
        <w:tc>
          <w:tcPr>
            <w:tcW w:w="8000" w:type="dxa"/>
            <w:tcBorders>
              <w:top w:val="single" w:sz="6" w:space="0" w:color="auto"/>
              <w:left w:val="single" w:sz="6" w:space="0" w:color="auto"/>
              <w:bottom w:val="single" w:sz="6" w:space="0" w:color="auto"/>
            </w:tcBorders>
          </w:tcPr>
          <w:p w14:paraId="25534AF4" w14:textId="16A71A48"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11</w:t>
            </w:r>
          </w:p>
        </w:tc>
      </w:tr>
      <w:tr w:rsidR="00CA6D12" w:rsidRPr="004229C1" w14:paraId="5084D0D4" w14:textId="77777777">
        <w:trPr>
          <w:trHeight w:val="200"/>
        </w:trPr>
        <w:tc>
          <w:tcPr>
            <w:tcW w:w="2000" w:type="dxa"/>
            <w:tcBorders>
              <w:top w:val="single" w:sz="6" w:space="0" w:color="auto"/>
              <w:bottom w:val="single" w:sz="6" w:space="0" w:color="auto"/>
              <w:right w:val="single" w:sz="6" w:space="0" w:color="auto"/>
            </w:tcBorders>
          </w:tcPr>
          <w:p w14:paraId="4FBCAB8F" w14:textId="7F3BCD84"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Опис ключових рішень</w:t>
            </w:r>
          </w:p>
        </w:tc>
        <w:tc>
          <w:tcPr>
            <w:tcW w:w="8000" w:type="dxa"/>
            <w:tcBorders>
              <w:top w:val="single" w:sz="6" w:space="0" w:color="auto"/>
              <w:left w:val="single" w:sz="6" w:space="0" w:color="auto"/>
              <w:bottom w:val="single" w:sz="6" w:space="0" w:color="auto"/>
            </w:tcBorders>
          </w:tcPr>
          <w:p w14:paraId="344843B4"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Протягом 2024 Наглядова рада затвердила Програму капіталізації/реструктуризації, План заходів за результатами оцінки SREP; Угоду, що укладатиметься з НБУ, бюджет Банку; Річний аудиторський план та бюджет внутрішнього аудиту; річну фінансову звітність Банку, перевірену аудиторами; затвердила рекомендації Загальним зборам акціонерів щодо Звіту незалежних аудиторів; результати оцінки профілю ризиків Банку у сфері ПВК/Санкцій/Протидії хабарництву та корупції; пакет звітності ICAAP, Звіти про щорічну оцінку діяльності та колективної придатності Правління та Наглядової Ради, про щорічну оцінку діяльності контрольних функцій, Звіт Правління Банку; перелік осіб, професійна діяльність яких має значний вплив на профіль ризику Банку; Звіт про винагороду членів Правління та впливових осіб; звіти Комітету з питань аудиту, Комітету з управління ризиками; Політику винагороди та відповідні внутрішні документи; ліміти на міжбанківські операції з </w:t>
            </w:r>
            <w:proofErr w:type="spellStart"/>
            <w:r w:rsidRPr="004229C1">
              <w:rPr>
                <w:rFonts w:ascii="Times New Roman" w:eastAsia="Times New Roman" w:hAnsi="Times New Roman" w:cs="Times New Roman"/>
                <w:bCs/>
                <w:color w:val="000000"/>
                <w:sz w:val="22"/>
                <w:szCs w:val="22"/>
                <w:lang w:val="uk-UA" w:eastAsia="uk-UA"/>
              </w:rPr>
              <w:t>Інтеза</w:t>
            </w:r>
            <w:proofErr w:type="spellEnd"/>
            <w:r w:rsidRPr="004229C1">
              <w:rPr>
                <w:rFonts w:ascii="Times New Roman" w:eastAsia="Times New Roman" w:hAnsi="Times New Roman" w:cs="Times New Roman"/>
                <w:bCs/>
                <w:color w:val="000000"/>
                <w:sz w:val="22"/>
                <w:szCs w:val="22"/>
                <w:lang w:val="uk-UA" w:eastAsia="uk-UA"/>
              </w:rPr>
              <w:t xml:space="preserve"> </w:t>
            </w:r>
            <w:proofErr w:type="spellStart"/>
            <w:r w:rsidRPr="004229C1">
              <w:rPr>
                <w:rFonts w:ascii="Times New Roman" w:eastAsia="Times New Roman" w:hAnsi="Times New Roman" w:cs="Times New Roman"/>
                <w:bCs/>
                <w:color w:val="000000"/>
                <w:sz w:val="22"/>
                <w:szCs w:val="22"/>
                <w:lang w:val="uk-UA" w:eastAsia="uk-UA"/>
              </w:rPr>
              <w:t>Санпаоло</w:t>
            </w:r>
            <w:proofErr w:type="spellEnd"/>
            <w:r w:rsidRPr="004229C1">
              <w:rPr>
                <w:rFonts w:ascii="Times New Roman" w:eastAsia="Times New Roman" w:hAnsi="Times New Roman" w:cs="Times New Roman"/>
                <w:bCs/>
                <w:color w:val="000000"/>
                <w:sz w:val="22"/>
                <w:szCs w:val="22"/>
                <w:lang w:val="uk-UA" w:eastAsia="uk-UA"/>
              </w:rPr>
              <w:t xml:space="preserve"> </w:t>
            </w:r>
            <w:proofErr w:type="spellStart"/>
            <w:r w:rsidRPr="004229C1">
              <w:rPr>
                <w:rFonts w:ascii="Times New Roman" w:eastAsia="Times New Roman" w:hAnsi="Times New Roman" w:cs="Times New Roman"/>
                <w:bCs/>
                <w:color w:val="000000"/>
                <w:sz w:val="22"/>
                <w:szCs w:val="22"/>
                <w:lang w:val="uk-UA" w:eastAsia="uk-UA"/>
              </w:rPr>
              <w:t>С.п.А</w:t>
            </w:r>
            <w:proofErr w:type="spellEnd"/>
            <w:r w:rsidRPr="004229C1">
              <w:rPr>
                <w:rFonts w:ascii="Times New Roman" w:eastAsia="Times New Roman" w:hAnsi="Times New Roman" w:cs="Times New Roman"/>
                <w:bCs/>
                <w:color w:val="000000"/>
                <w:sz w:val="22"/>
                <w:szCs w:val="22"/>
                <w:lang w:val="uk-UA" w:eastAsia="uk-UA"/>
              </w:rPr>
              <w:t>.; призначено нових членів Правління, зокрема, Першого Заступника Голови Правління; переобрано склад Комітету з питань аудиту, Комітету з управління ризиками; створено новий Комітет НР - Комітет з винагород і призначень; розглянуто та прийнято до відома оновлену інформацію від зовнішніх аудиторів, статус щодо збільшення капіталу Банку, квартальні, піврічні, річні звіти з питань комплаєнсу, ПВК, ризиків; стан реалізації Стратегії управління проблемними активами та Операційного плану на 2022-2025 роки; результати оцінки SREP та рекомендації НБУ щодо напрямку фінансового моніторингу з відповідним затвердженням планів заходів; щоквартальні звіти корпоративного секретаря, піврічні звіти за основними судовими справами; статус виконання плану капіталізації; регулярні огляди від Голови Правління.</w:t>
            </w:r>
          </w:p>
          <w:p w14:paraId="535A28E1"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Крім того, Наглядова рада забезпечувала контроль за щомісячними фінансовими результатами; щомісячними звітами про економічні показники НБУ; виконанням бюджету Банку в рамках щоквартальних фінансових звітів керівника головного фінансового управління Банку; виконанням програми капіталізації НБУ та затвердженням її оновлень; розглядала огляду діяльності Комітету з питань аудиту, Комітету з управління ризиками, Комітету з винагород і призначень; стан та прогноз показників НБУ; діяльність контрольних служб - аудиту, комплаєнсу, ризик-менеджменту.</w:t>
            </w:r>
          </w:p>
          <w:p w14:paraId="44DF2D6F"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НР протягом 2024 року ухвалила такі документи</w:t>
            </w:r>
          </w:p>
          <w:p w14:paraId="40DED22B"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В частині управління ризиками з метою забезпечення ефективного функціонування системи управління ризиками:</w:t>
            </w:r>
          </w:p>
          <w:p w14:paraId="3F31831A"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"Політика управління операційним ризиком АТ "ПРАВЕКС БАНК"</w:t>
            </w:r>
          </w:p>
          <w:p w14:paraId="697F6139"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Керівні принципи щодо структури ризик-апетиту АТ «ПРАВЕКС БАНК» </w:t>
            </w:r>
          </w:p>
          <w:p w14:paraId="56C1AD4F"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Політика управління ІКТ-ризиками АТ "ПРАВЕКС БАНК"</w:t>
            </w:r>
          </w:p>
          <w:p w14:paraId="5F22953A"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"Стратегія та політика управління ризиками АТ "ПРАВЕКС БАНК"" </w:t>
            </w:r>
          </w:p>
          <w:p w14:paraId="4CC3B0A1"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Декларація схильності до ризиків АТ «ПРАВЕКС БАНК» </w:t>
            </w:r>
          </w:p>
          <w:p w14:paraId="0A5BF32C"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"Звіт про процес оцінки достатності капіталу (ICAAP) АТ "ПРАВЕКС БАНК" станом на 01.01.2024". "Звіт про адекватність капіталу АТ "ПРАВЕКС БАНК" станом на 01.01.2024"</w:t>
            </w:r>
          </w:p>
          <w:p w14:paraId="048C9AEE"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"План відновлення діяльності АТ "ПРАВЕКС БАНК""</w:t>
            </w:r>
          </w:p>
          <w:p w14:paraId="21205BED"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 Політика управління процентним ризиком та ризиком кредитного </w:t>
            </w:r>
            <w:proofErr w:type="spellStart"/>
            <w:r w:rsidRPr="004229C1">
              <w:rPr>
                <w:rFonts w:ascii="Times New Roman" w:eastAsia="Times New Roman" w:hAnsi="Times New Roman" w:cs="Times New Roman"/>
                <w:bCs/>
                <w:color w:val="000000"/>
                <w:sz w:val="22"/>
                <w:szCs w:val="22"/>
                <w:lang w:val="uk-UA" w:eastAsia="uk-UA"/>
              </w:rPr>
              <w:t>спреду</w:t>
            </w:r>
            <w:proofErr w:type="spellEnd"/>
            <w:r w:rsidRPr="004229C1">
              <w:rPr>
                <w:rFonts w:ascii="Times New Roman" w:eastAsia="Times New Roman" w:hAnsi="Times New Roman" w:cs="Times New Roman"/>
                <w:bCs/>
                <w:color w:val="000000"/>
                <w:sz w:val="22"/>
                <w:szCs w:val="22"/>
                <w:lang w:val="uk-UA" w:eastAsia="uk-UA"/>
              </w:rPr>
              <w:t xml:space="preserve"> банківської книги АТ «ПРАВЕКС БАНК</w:t>
            </w:r>
          </w:p>
          <w:p w14:paraId="7173672A" w14:textId="77777777" w:rsidR="00CA6D12" w:rsidRPr="004229C1" w:rsidRDefault="00CA6D12" w:rsidP="00CA6D12">
            <w:pPr>
              <w:widowControl w:val="0"/>
              <w:numPr>
                <w:ilvl w:val="0"/>
                <w:numId w:val="9"/>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"Політика управління репутаційним ризиком АТ "ПРАВЕКС БАНК"".</w:t>
            </w:r>
          </w:p>
          <w:p w14:paraId="7349AED1"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В частині комплаєнсу з метою забезпечення ефективної комплаєнс-культури:</w:t>
            </w:r>
          </w:p>
          <w:p w14:paraId="6CC46BCE" w14:textId="77777777" w:rsidR="00CA6D12" w:rsidRPr="004229C1" w:rsidRDefault="00CA6D12" w:rsidP="00CA6D12">
            <w:pPr>
              <w:widowControl w:val="0"/>
              <w:numPr>
                <w:ilvl w:val="0"/>
                <w:numId w:val="11"/>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Кодекс Етики</w:t>
            </w:r>
          </w:p>
          <w:p w14:paraId="46689C9F" w14:textId="77777777" w:rsidR="00CA6D12" w:rsidRPr="004229C1" w:rsidRDefault="00CA6D12" w:rsidP="00CA6D12">
            <w:pPr>
              <w:widowControl w:val="0"/>
              <w:numPr>
                <w:ilvl w:val="0"/>
                <w:numId w:val="11"/>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Правила роботи з управління </w:t>
            </w:r>
            <w:proofErr w:type="spellStart"/>
            <w:r w:rsidRPr="004229C1">
              <w:rPr>
                <w:rFonts w:ascii="Times New Roman" w:eastAsia="Times New Roman" w:hAnsi="Times New Roman" w:cs="Times New Roman"/>
                <w:bCs/>
                <w:color w:val="000000"/>
                <w:sz w:val="22"/>
                <w:szCs w:val="22"/>
                <w:lang w:val="uk-UA" w:eastAsia="uk-UA"/>
              </w:rPr>
              <w:t>макро</w:t>
            </w:r>
            <w:proofErr w:type="spellEnd"/>
            <w:r w:rsidRPr="004229C1">
              <w:rPr>
                <w:rFonts w:ascii="Times New Roman" w:eastAsia="Times New Roman" w:hAnsi="Times New Roman" w:cs="Times New Roman"/>
                <w:bCs/>
                <w:color w:val="000000"/>
                <w:sz w:val="22"/>
                <w:szCs w:val="22"/>
                <w:lang w:val="uk-UA" w:eastAsia="uk-UA"/>
              </w:rPr>
              <w:t xml:space="preserve">-процесами </w:t>
            </w:r>
            <w:proofErr w:type="spellStart"/>
            <w:r w:rsidRPr="004229C1">
              <w:rPr>
                <w:rFonts w:ascii="Times New Roman" w:eastAsia="Times New Roman" w:hAnsi="Times New Roman" w:cs="Times New Roman"/>
                <w:bCs/>
                <w:color w:val="000000"/>
                <w:sz w:val="22"/>
                <w:szCs w:val="22"/>
                <w:lang w:val="uk-UA" w:eastAsia="uk-UA"/>
              </w:rPr>
              <w:t>комплаєнс</w:t>
            </w:r>
            <w:proofErr w:type="spellEnd"/>
            <w:r w:rsidRPr="004229C1">
              <w:rPr>
                <w:rFonts w:ascii="Times New Roman" w:eastAsia="Times New Roman" w:hAnsi="Times New Roman" w:cs="Times New Roman"/>
                <w:bCs/>
                <w:color w:val="000000"/>
                <w:sz w:val="22"/>
                <w:szCs w:val="22"/>
                <w:lang w:val="uk-UA" w:eastAsia="uk-UA"/>
              </w:rPr>
              <w:t xml:space="preserve"> (Звід Правил Комплаєнсу) АТ «ПРАВЕКС БАНК» </w:t>
            </w:r>
          </w:p>
          <w:p w14:paraId="364D510F"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В рамках системи протидії відмиванню коштів з метою забезпечення ефективного фінансового моніторингу в Банку:</w:t>
            </w:r>
          </w:p>
          <w:p w14:paraId="4F2B895C" w14:textId="77777777" w:rsidR="00CA6D12" w:rsidRPr="004229C1" w:rsidRDefault="00CA6D12" w:rsidP="00CA6D12">
            <w:pPr>
              <w:widowControl w:val="0"/>
              <w:numPr>
                <w:ilvl w:val="0"/>
                <w:numId w:val="10"/>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Керівні принципи щодо боротьби з легалізацією доходів, одержаних злочинним шляхом, фінансуванням тероризму та управління ембарго АТ «ПРАВЕКС БАНК» </w:t>
            </w:r>
          </w:p>
          <w:p w14:paraId="54417140" w14:textId="77777777" w:rsidR="00CA6D12" w:rsidRPr="004229C1" w:rsidRDefault="00CA6D12" w:rsidP="00CA6D12">
            <w:pPr>
              <w:widowControl w:val="0"/>
              <w:numPr>
                <w:ilvl w:val="0"/>
                <w:numId w:val="10"/>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Політика АТ «ПРАВЕКС БАНК» щодо запобігання та протидії корупції </w:t>
            </w:r>
          </w:p>
          <w:p w14:paraId="6DA2947D" w14:textId="77777777" w:rsidR="00CA6D12" w:rsidRPr="004229C1" w:rsidRDefault="00CA6D12" w:rsidP="00CA6D12">
            <w:pPr>
              <w:widowControl w:val="0"/>
              <w:tabs>
                <w:tab w:val="right" w:pos="7710"/>
                <w:tab w:val="right" w:pos="11514"/>
              </w:tabs>
              <w:suppressAutoHyphens/>
              <w:autoSpaceDE w:val="0"/>
              <w:autoSpaceDN w:val="0"/>
              <w:adjustRightInd w:val="0"/>
              <w:spacing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В частині корпоративного управління:</w:t>
            </w:r>
          </w:p>
          <w:p w14:paraId="1127835D" w14:textId="77777777" w:rsidR="00CA6D12" w:rsidRPr="004229C1" w:rsidRDefault="00CA6D12" w:rsidP="00CA6D12">
            <w:pPr>
              <w:widowControl w:val="0"/>
              <w:numPr>
                <w:ilvl w:val="0"/>
                <w:numId w:val="12"/>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Положення про корпоративного секретаря АТ "ПРАВЕКС БАНК</w:t>
            </w:r>
          </w:p>
          <w:p w14:paraId="33E73551" w14:textId="77777777" w:rsidR="00CA6D12" w:rsidRPr="004229C1" w:rsidRDefault="00CA6D12" w:rsidP="00CA6D12">
            <w:pPr>
              <w:widowControl w:val="0"/>
              <w:numPr>
                <w:ilvl w:val="0"/>
                <w:numId w:val="12"/>
              </w:numPr>
              <w:tabs>
                <w:tab w:val="right" w:pos="7710"/>
                <w:tab w:val="right" w:pos="11514"/>
              </w:tabs>
              <w:suppressAutoHyphens/>
              <w:autoSpaceDE w:val="0"/>
              <w:autoSpaceDN w:val="0"/>
              <w:adjustRightInd w:val="0"/>
              <w:spacing w:after="0" w:line="240" w:lineRule="auto"/>
              <w:jc w:val="both"/>
              <w:rPr>
                <w:rFonts w:ascii="Times New Roman" w:eastAsia="Times New Roman" w:hAnsi="Times New Roman" w:cs="Times New Roman"/>
                <w:b/>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Статут (взято до уваги)</w:t>
            </w:r>
          </w:p>
          <w:p w14:paraId="36D97C5D" w14:textId="47F5368C" w:rsidR="00CA6D12" w:rsidRPr="004229C1" w:rsidRDefault="00CA6D12" w:rsidP="00CA6D12">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bCs/>
                <w:color w:val="000000"/>
                <w:sz w:val="22"/>
                <w:szCs w:val="22"/>
                <w:lang w:val="uk-UA" w:eastAsia="uk-UA"/>
              </w:rPr>
              <w:t>Положення про Комітет з винагороди і призначень Наглядової ради АТ "ПРАВЕКС БАНК".</w:t>
            </w:r>
          </w:p>
        </w:tc>
      </w:tr>
    </w:tbl>
    <w:p w14:paraId="124C351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109CEE8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проведені засідання комітетів ради та загальний опис прийнятих рішень</w:t>
      </w:r>
    </w:p>
    <w:tbl>
      <w:tblPr>
        <w:tblW w:w="5294" w:type="pct"/>
        <w:tblCellMar>
          <w:left w:w="0" w:type="dxa"/>
          <w:right w:w="0" w:type="dxa"/>
        </w:tblCellMar>
        <w:tblLook w:val="04A0" w:firstRow="1" w:lastRow="0" w:firstColumn="1" w:lastColumn="0" w:noHBand="0" w:noVBand="1"/>
      </w:tblPr>
      <w:tblGrid>
        <w:gridCol w:w="2325"/>
        <w:gridCol w:w="2905"/>
        <w:gridCol w:w="2920"/>
        <w:gridCol w:w="2920"/>
      </w:tblGrid>
      <w:tr w:rsidR="00CA6D12" w:rsidRPr="004229C1" w14:paraId="2E0E2648"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2D1D758"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p>
        </w:tc>
        <w:tc>
          <w:tcPr>
            <w:tcW w:w="131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473F081C" w14:textId="77777777" w:rsidR="00CA6D12" w:rsidRPr="004229C1" w:rsidRDefault="00CA6D12" w:rsidP="00FA3E07">
            <w:pPr>
              <w:widowControl w:val="0"/>
              <w:tabs>
                <w:tab w:val="right" w:pos="6350"/>
              </w:tabs>
              <w:suppressAutoHyphens/>
              <w:autoSpaceDE w:val="0"/>
              <w:autoSpaceDN w:val="0"/>
              <w:adjustRightInd w:val="0"/>
              <w:spacing w:line="240" w:lineRule="auto"/>
              <w:contextualSpacing/>
              <w:jc w:val="center"/>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Комітет з питань аудиту</w:t>
            </w:r>
          </w:p>
        </w:tc>
        <w:tc>
          <w:tcPr>
            <w:tcW w:w="131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5826FC67" w14:textId="77777777" w:rsidR="00CA6D12" w:rsidRPr="004229C1" w:rsidRDefault="00CA6D12" w:rsidP="00FA3E07">
            <w:pPr>
              <w:widowControl w:val="0"/>
              <w:tabs>
                <w:tab w:val="right" w:pos="6350"/>
              </w:tabs>
              <w:suppressAutoHyphens/>
              <w:autoSpaceDE w:val="0"/>
              <w:autoSpaceDN w:val="0"/>
              <w:adjustRightInd w:val="0"/>
              <w:spacing w:line="240" w:lineRule="auto"/>
              <w:contextualSpacing/>
              <w:jc w:val="center"/>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Комітет з управління ризиками</w:t>
            </w:r>
          </w:p>
        </w:tc>
        <w:tc>
          <w:tcPr>
            <w:tcW w:w="1319" w:type="pct"/>
            <w:tcBorders>
              <w:top w:val="single" w:sz="4" w:space="0" w:color="000000"/>
              <w:left w:val="single" w:sz="4" w:space="0" w:color="000000"/>
              <w:bottom w:val="single" w:sz="4" w:space="0" w:color="000000"/>
              <w:right w:val="single" w:sz="4" w:space="0" w:color="000000"/>
            </w:tcBorders>
          </w:tcPr>
          <w:p w14:paraId="6AADF147" w14:textId="77777777" w:rsidR="00CA6D12" w:rsidRPr="004229C1" w:rsidRDefault="00CA6D12" w:rsidP="00FA3E07">
            <w:pPr>
              <w:widowControl w:val="0"/>
              <w:tabs>
                <w:tab w:val="right" w:pos="6350"/>
              </w:tabs>
              <w:suppressAutoHyphens/>
              <w:autoSpaceDE w:val="0"/>
              <w:autoSpaceDN w:val="0"/>
              <w:adjustRightInd w:val="0"/>
              <w:spacing w:line="240" w:lineRule="auto"/>
              <w:contextualSpacing/>
              <w:jc w:val="center"/>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Комітет з винагород і призначень </w:t>
            </w:r>
          </w:p>
        </w:tc>
      </w:tr>
      <w:tr w:rsidR="00CA6D12" w:rsidRPr="004229C1" w14:paraId="643A093D"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hideMark/>
          </w:tcPr>
          <w:p w14:paraId="6FDF6ACD" w14:textId="77777777" w:rsidR="00CA6D12" w:rsidRPr="004229C1" w:rsidRDefault="00CA6D12" w:rsidP="00FA3E07">
            <w:pPr>
              <w:widowControl w:val="0"/>
              <w:tabs>
                <w:tab w:val="right" w:pos="7767"/>
              </w:tabs>
              <w:suppressAutoHyphens/>
              <w:autoSpaceDE w:val="0"/>
              <w:autoSpaceDN w:val="0"/>
              <w:adjustRightInd w:val="0"/>
              <w:spacing w:line="240" w:lineRule="auto"/>
              <w:contextualSpacing/>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Кількість засідань комітету у звітному періоді*.</w:t>
            </w:r>
          </w:p>
        </w:tc>
        <w:tc>
          <w:tcPr>
            <w:tcW w:w="131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1121B9"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13</w:t>
            </w:r>
          </w:p>
        </w:tc>
        <w:tc>
          <w:tcPr>
            <w:tcW w:w="1319"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479BBC"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9</w:t>
            </w:r>
          </w:p>
        </w:tc>
        <w:tc>
          <w:tcPr>
            <w:tcW w:w="1319" w:type="pct"/>
            <w:tcBorders>
              <w:top w:val="single" w:sz="4" w:space="0" w:color="000000"/>
              <w:left w:val="single" w:sz="4" w:space="0" w:color="000000"/>
              <w:bottom w:val="single" w:sz="4" w:space="0" w:color="000000"/>
              <w:right w:val="single" w:sz="4" w:space="0" w:color="000000"/>
            </w:tcBorders>
          </w:tcPr>
          <w:p w14:paraId="432E59DB"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3</w:t>
            </w:r>
          </w:p>
        </w:tc>
      </w:tr>
      <w:tr w:rsidR="00CA6D12" w:rsidRPr="004229C1" w14:paraId="49D5D223"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hideMark/>
          </w:tcPr>
          <w:p w14:paraId="21814B78" w14:textId="77777777" w:rsidR="00CA6D12" w:rsidRPr="004229C1" w:rsidRDefault="00CA6D12" w:rsidP="00FA3E07">
            <w:pPr>
              <w:widowControl w:val="0"/>
              <w:tabs>
                <w:tab w:val="right" w:pos="7767"/>
              </w:tabs>
              <w:suppressAutoHyphens/>
              <w:autoSpaceDE w:val="0"/>
              <w:autoSpaceDN w:val="0"/>
              <w:adjustRightInd w:val="0"/>
              <w:spacing w:line="240" w:lineRule="auto"/>
              <w:contextualSpacing/>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шляхом безпосередньої участі</w:t>
            </w:r>
          </w:p>
        </w:tc>
        <w:tc>
          <w:tcPr>
            <w:tcW w:w="131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8FA0E"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9</w:t>
            </w:r>
          </w:p>
        </w:tc>
        <w:tc>
          <w:tcPr>
            <w:tcW w:w="1319"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DDE585"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7</w:t>
            </w:r>
          </w:p>
        </w:tc>
        <w:tc>
          <w:tcPr>
            <w:tcW w:w="1319" w:type="pct"/>
            <w:tcBorders>
              <w:top w:val="single" w:sz="4" w:space="0" w:color="000000"/>
              <w:left w:val="single" w:sz="4" w:space="0" w:color="000000"/>
              <w:bottom w:val="single" w:sz="4" w:space="0" w:color="000000"/>
              <w:right w:val="single" w:sz="4" w:space="0" w:color="000000"/>
            </w:tcBorders>
          </w:tcPr>
          <w:p w14:paraId="27BAF1AA"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2</w:t>
            </w:r>
          </w:p>
        </w:tc>
      </w:tr>
      <w:tr w:rsidR="00CA6D12" w:rsidRPr="004229C1" w14:paraId="3532CDB5"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hideMark/>
          </w:tcPr>
          <w:p w14:paraId="2AEB5837" w14:textId="77777777" w:rsidR="00CA6D12" w:rsidRPr="004229C1" w:rsidRDefault="00CA6D12" w:rsidP="00FA3E07">
            <w:pPr>
              <w:widowControl w:val="0"/>
              <w:tabs>
                <w:tab w:val="right" w:pos="7767"/>
              </w:tabs>
              <w:suppressAutoHyphens/>
              <w:autoSpaceDE w:val="0"/>
              <w:autoSpaceDN w:val="0"/>
              <w:adjustRightInd w:val="0"/>
              <w:spacing w:line="240" w:lineRule="auto"/>
              <w:contextualSpacing/>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шляхом опитування</w:t>
            </w:r>
          </w:p>
        </w:tc>
        <w:tc>
          <w:tcPr>
            <w:tcW w:w="131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A4051B"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4</w:t>
            </w:r>
          </w:p>
        </w:tc>
        <w:tc>
          <w:tcPr>
            <w:tcW w:w="1319"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64AF75"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2</w:t>
            </w:r>
          </w:p>
        </w:tc>
        <w:tc>
          <w:tcPr>
            <w:tcW w:w="1319" w:type="pct"/>
            <w:tcBorders>
              <w:top w:val="single" w:sz="4" w:space="0" w:color="000000"/>
              <w:left w:val="single" w:sz="4" w:space="0" w:color="000000"/>
              <w:bottom w:val="single" w:sz="4" w:space="0" w:color="000000"/>
              <w:right w:val="single" w:sz="4" w:space="0" w:color="000000"/>
            </w:tcBorders>
          </w:tcPr>
          <w:p w14:paraId="2DABDC65" w14:textId="77777777" w:rsidR="00CA6D12" w:rsidRPr="004229C1" w:rsidRDefault="00CA6D12" w:rsidP="00FA3E07">
            <w:pPr>
              <w:widowControl w:val="0"/>
              <w:suppressAutoHyphens/>
              <w:autoSpaceDE w:val="0"/>
              <w:autoSpaceDN w:val="0"/>
              <w:adjustRightInd w:val="0"/>
              <w:spacing w:line="240" w:lineRule="auto"/>
              <w:contextualSpacing/>
              <w:jc w:val="center"/>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1</w:t>
            </w:r>
          </w:p>
        </w:tc>
      </w:tr>
      <w:tr w:rsidR="00CA6D12" w:rsidRPr="004229C1" w14:paraId="433EF758"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hideMark/>
          </w:tcPr>
          <w:p w14:paraId="790A6960" w14:textId="77777777" w:rsidR="00CA6D12" w:rsidRPr="004229C1" w:rsidRDefault="00CA6D12" w:rsidP="00FA3E07">
            <w:pPr>
              <w:widowControl w:val="0"/>
              <w:tabs>
                <w:tab w:val="right" w:pos="7767"/>
              </w:tabs>
              <w:suppressAutoHyphens/>
              <w:autoSpaceDE w:val="0"/>
              <w:autoSpaceDN w:val="0"/>
              <w:adjustRightInd w:val="0"/>
              <w:spacing w:line="240" w:lineRule="auto"/>
              <w:contextualSpacing/>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Опис ключових рішень</w:t>
            </w:r>
          </w:p>
        </w:tc>
        <w:tc>
          <w:tcPr>
            <w:tcW w:w="131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7972CD"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u w:val="single"/>
                <w:lang w:val="uk-UA" w:eastAsia="uk-UA"/>
              </w:rPr>
            </w:pPr>
            <w:r w:rsidRPr="004229C1">
              <w:rPr>
                <w:rFonts w:ascii="Times New Roman" w:eastAsia="Times New Roman" w:hAnsi="Times New Roman" w:cs="Times New Roman"/>
                <w:sz w:val="22"/>
                <w:szCs w:val="22"/>
                <w:u w:val="single"/>
                <w:lang w:val="uk-UA" w:eastAsia="uk-UA"/>
              </w:rPr>
              <w:t>Були розглянуті та проаналізовані наступні питання:</w:t>
            </w:r>
          </w:p>
          <w:p w14:paraId="1135DDBE"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 xml:space="preserve">Щомісячні фінансові результати; Квартальний пакет звітності Банку; Річна фінансова звітність Банку; Звіт незалежних аудиторів щодо річної фінансової звітності Банку; Звіт керівництва; Регулярні звіти про комплаєнс, фінансовий моніторинг, управління ризиками; Звіти про впровадження документів Банку; Регулярні звіти про виконання рекомендацій внутрішнього аудиту; Регулярні звіти про діяльність департаменту внутрішнього аудиту; Річний/піврічний звіт про систему внутрішнього контролю щодо фінансової інформації; Звіт контрольних функцій </w:t>
            </w:r>
            <w:proofErr w:type="spellStart"/>
            <w:r w:rsidRPr="004229C1">
              <w:rPr>
                <w:rFonts w:ascii="Times New Roman" w:eastAsia="Times New Roman" w:hAnsi="Times New Roman" w:cs="Times New Roman"/>
                <w:sz w:val="22"/>
                <w:szCs w:val="22"/>
                <w:lang w:val="uk-UA" w:eastAsia="uk-UA"/>
              </w:rPr>
              <w:t>Tableau</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de</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Board</w:t>
            </w:r>
            <w:proofErr w:type="spellEnd"/>
            <w:r w:rsidRPr="004229C1">
              <w:rPr>
                <w:rFonts w:ascii="Times New Roman" w:eastAsia="Times New Roman" w:hAnsi="Times New Roman" w:cs="Times New Roman"/>
                <w:sz w:val="22"/>
                <w:szCs w:val="22"/>
                <w:lang w:val="uk-UA" w:eastAsia="uk-UA"/>
              </w:rPr>
              <w:t>, Договір із зовнішніми аудиторами, Позапланові аудиторські перевірки; Аудиторські висновки щодо ICAAP, План відновлення, оновлені внутрішні документи ГФУ та підрозділу комплаєнс.</w:t>
            </w:r>
          </w:p>
        </w:tc>
        <w:tc>
          <w:tcPr>
            <w:tcW w:w="1319"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888F7F"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u w:val="single"/>
                <w:lang w:val="uk-UA" w:eastAsia="uk-UA"/>
              </w:rPr>
            </w:pPr>
            <w:r w:rsidRPr="004229C1">
              <w:rPr>
                <w:rFonts w:ascii="Times New Roman" w:eastAsia="Times New Roman" w:hAnsi="Times New Roman" w:cs="Times New Roman"/>
                <w:sz w:val="22"/>
                <w:szCs w:val="22"/>
                <w:u w:val="single"/>
                <w:lang w:val="uk-UA" w:eastAsia="uk-UA"/>
              </w:rPr>
              <w:t>Були розглянуті та проаналізовані наступні питання:</w:t>
            </w:r>
          </w:p>
          <w:p w14:paraId="43F5F44C"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 xml:space="preserve">Щоквартальні звіти з управління ризиками; піврічний звіт CRO </w:t>
            </w:r>
            <w:proofErr w:type="spellStart"/>
            <w:r w:rsidRPr="004229C1">
              <w:rPr>
                <w:rFonts w:ascii="Times New Roman" w:eastAsia="Times New Roman" w:hAnsi="Times New Roman" w:cs="Times New Roman"/>
                <w:sz w:val="22"/>
                <w:szCs w:val="22"/>
                <w:lang w:val="uk-UA" w:eastAsia="uk-UA"/>
              </w:rPr>
              <w:t>Tableau</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de</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Bord</w:t>
            </w:r>
            <w:proofErr w:type="spellEnd"/>
            <w:r w:rsidRPr="004229C1">
              <w:rPr>
                <w:rFonts w:ascii="Times New Roman" w:eastAsia="Times New Roman" w:hAnsi="Times New Roman" w:cs="Times New Roman"/>
                <w:sz w:val="22"/>
                <w:szCs w:val="22"/>
                <w:lang w:val="uk-UA" w:eastAsia="uk-UA"/>
              </w:rPr>
              <w:t>; регулярні комплаєнс-звіти; оновлені версії внутрішніх документів у сфері управління ризиками, пакет звітності ICAAP; перегляд політики винагороди та заохочення; План відновлення.</w:t>
            </w:r>
          </w:p>
        </w:tc>
        <w:tc>
          <w:tcPr>
            <w:tcW w:w="1319" w:type="pct"/>
            <w:tcBorders>
              <w:top w:val="single" w:sz="4" w:space="0" w:color="000000"/>
              <w:left w:val="single" w:sz="4" w:space="0" w:color="000000"/>
              <w:bottom w:val="single" w:sz="4" w:space="0" w:color="000000"/>
              <w:right w:val="single" w:sz="4" w:space="0" w:color="000000"/>
            </w:tcBorders>
          </w:tcPr>
          <w:p w14:paraId="4DA9D66F"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u w:val="single"/>
                <w:lang w:val="uk-UA" w:eastAsia="uk-UA"/>
              </w:rPr>
            </w:pPr>
            <w:r w:rsidRPr="004229C1">
              <w:rPr>
                <w:rFonts w:ascii="Times New Roman" w:eastAsia="Times New Roman" w:hAnsi="Times New Roman" w:cs="Times New Roman"/>
                <w:sz w:val="22"/>
                <w:szCs w:val="22"/>
                <w:u w:val="single"/>
                <w:lang w:val="uk-UA" w:eastAsia="uk-UA"/>
              </w:rPr>
              <w:t>Були розглянуті та проаналізовані наступні питання:</w:t>
            </w:r>
          </w:p>
          <w:p w14:paraId="07943D77"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Перегляд політики винагороди; оцінка трудового контракту члена Правління</w:t>
            </w:r>
          </w:p>
          <w:p w14:paraId="5D06A93D"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Звіт про перевірку відповідності кваліфікаційним вимогам Голови та членів Наглядової ради, а також вимогам незалежності (для незалежних членів Наглядової ради), Голови та членів Правління, керівника департаменту внутрішнього аудиту, CRO, ССО, працівника, відповідального за проведення фінансового моніторингу, головного бухгалтера та одноразова виплата для керівників контрольних функцій та працівників департаменту внутрішнього аудиту</w:t>
            </w:r>
          </w:p>
          <w:p w14:paraId="63976D0A" w14:textId="77777777" w:rsidR="00CA6D12" w:rsidRPr="004229C1" w:rsidRDefault="00CA6D12" w:rsidP="00FA3E07">
            <w:pPr>
              <w:widowControl w:val="0"/>
              <w:suppressAutoHyphens/>
              <w:autoSpaceDE w:val="0"/>
              <w:autoSpaceDN w:val="0"/>
              <w:adjustRightInd w:val="0"/>
              <w:spacing w:line="240" w:lineRule="auto"/>
              <w:contextualSpacing/>
              <w:rPr>
                <w:rFonts w:ascii="Times New Roman" w:eastAsia="Times New Roman" w:hAnsi="Times New Roman" w:cs="Times New Roman"/>
                <w:b/>
                <w:sz w:val="22"/>
                <w:szCs w:val="22"/>
                <w:lang w:val="uk-UA" w:eastAsia="uk-UA"/>
              </w:rPr>
            </w:pPr>
          </w:p>
        </w:tc>
      </w:tr>
      <w:tr w:rsidR="00CA6D12" w:rsidRPr="004229C1" w14:paraId="41E847F1" w14:textId="77777777" w:rsidTr="00FA3E07">
        <w:trPr>
          <w:trHeight w:val="58"/>
        </w:trPr>
        <w:tc>
          <w:tcPr>
            <w:tcW w:w="105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hideMark/>
          </w:tcPr>
          <w:p w14:paraId="61A3B539" w14:textId="77777777" w:rsidR="00CA6D12" w:rsidRPr="004229C1" w:rsidRDefault="00CA6D12" w:rsidP="00FA3E07">
            <w:pPr>
              <w:widowControl w:val="0"/>
              <w:tabs>
                <w:tab w:val="right" w:pos="7767"/>
              </w:tabs>
              <w:suppressAutoHyphens/>
              <w:autoSpaceDE w:val="0"/>
              <w:autoSpaceDN w:val="0"/>
              <w:adjustRightInd w:val="0"/>
              <w:spacing w:line="240" w:lineRule="auto"/>
              <w:contextualSpacing/>
              <w:jc w:val="both"/>
              <w:rPr>
                <w:rFonts w:ascii="Times New Roman" w:eastAsia="Times New Roman" w:hAnsi="Times New Roman" w:cs="Times New Roman"/>
                <w:bCs/>
                <w:color w:val="000000"/>
                <w:sz w:val="22"/>
                <w:szCs w:val="22"/>
                <w:lang w:val="uk-UA" w:eastAsia="uk-UA"/>
              </w:rPr>
            </w:pPr>
            <w:r w:rsidRPr="004229C1">
              <w:rPr>
                <w:rFonts w:ascii="Times New Roman" w:eastAsia="Times New Roman" w:hAnsi="Times New Roman" w:cs="Times New Roman"/>
                <w:bCs/>
                <w:color w:val="000000"/>
                <w:sz w:val="22"/>
                <w:szCs w:val="22"/>
                <w:lang w:val="uk-UA" w:eastAsia="uk-UA"/>
              </w:rPr>
              <w:t xml:space="preserve">Оцінка незалежності суб'єктів аудиторської діяльності, які надають послуги з обов'язкового аудиту </w:t>
            </w:r>
          </w:p>
        </w:tc>
        <w:tc>
          <w:tcPr>
            <w:tcW w:w="131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6C25C5"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r w:rsidRPr="004229C1">
              <w:rPr>
                <w:rFonts w:ascii="Times New Roman" w:eastAsia="Times New Roman" w:hAnsi="Times New Roman" w:cs="Times New Roman"/>
                <w:sz w:val="22"/>
                <w:szCs w:val="22"/>
                <w:lang w:val="uk-UA" w:eastAsia="uk-UA"/>
              </w:rPr>
              <w:t xml:space="preserve">Незалежність зовнішнього аудитора Банку ТОВ "Ернст </w:t>
            </w:r>
            <w:proofErr w:type="spellStart"/>
            <w:r w:rsidRPr="004229C1">
              <w:rPr>
                <w:rFonts w:ascii="Times New Roman" w:eastAsia="Times New Roman" w:hAnsi="Times New Roman" w:cs="Times New Roman"/>
                <w:sz w:val="22"/>
                <w:szCs w:val="22"/>
                <w:lang w:val="uk-UA" w:eastAsia="uk-UA"/>
              </w:rPr>
              <w:t>енд</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Янг</w:t>
            </w:r>
            <w:proofErr w:type="spellEnd"/>
            <w:r w:rsidRPr="004229C1">
              <w:rPr>
                <w:rFonts w:ascii="Times New Roman" w:eastAsia="Times New Roman" w:hAnsi="Times New Roman" w:cs="Times New Roman"/>
                <w:sz w:val="22"/>
                <w:szCs w:val="22"/>
                <w:lang w:val="uk-UA" w:eastAsia="uk-UA"/>
              </w:rPr>
              <w:t xml:space="preserve"> Аудиторські послуги" під час виконання обов'язкового аудиту річної окремої фінансової звітності за 2023 рік, який здійснювався відповідно до договору про надання аудиторських послуг, не була під загрозою, вимоги законодавства щодо незалежності зовнішнього аудитора не порушувалися. Незалежність зовнішнього аудитора також відображена у звіті ТОВ "Ернст </w:t>
            </w:r>
            <w:proofErr w:type="spellStart"/>
            <w:r w:rsidRPr="004229C1">
              <w:rPr>
                <w:rFonts w:ascii="Times New Roman" w:eastAsia="Times New Roman" w:hAnsi="Times New Roman" w:cs="Times New Roman"/>
                <w:sz w:val="22"/>
                <w:szCs w:val="22"/>
                <w:lang w:val="uk-UA" w:eastAsia="uk-UA"/>
              </w:rPr>
              <w:t>енд</w:t>
            </w:r>
            <w:proofErr w:type="spellEnd"/>
            <w:r w:rsidRPr="004229C1">
              <w:rPr>
                <w:rFonts w:ascii="Times New Roman" w:eastAsia="Times New Roman" w:hAnsi="Times New Roman" w:cs="Times New Roman"/>
                <w:sz w:val="22"/>
                <w:szCs w:val="22"/>
                <w:lang w:val="uk-UA" w:eastAsia="uk-UA"/>
              </w:rPr>
              <w:t xml:space="preserve"> </w:t>
            </w:r>
            <w:proofErr w:type="spellStart"/>
            <w:r w:rsidRPr="004229C1">
              <w:rPr>
                <w:rFonts w:ascii="Times New Roman" w:eastAsia="Times New Roman" w:hAnsi="Times New Roman" w:cs="Times New Roman"/>
                <w:sz w:val="22"/>
                <w:szCs w:val="22"/>
                <w:lang w:val="uk-UA" w:eastAsia="uk-UA"/>
              </w:rPr>
              <w:t>Янг</w:t>
            </w:r>
            <w:proofErr w:type="spellEnd"/>
            <w:r w:rsidRPr="004229C1">
              <w:rPr>
                <w:rFonts w:ascii="Times New Roman" w:eastAsia="Times New Roman" w:hAnsi="Times New Roman" w:cs="Times New Roman"/>
                <w:sz w:val="22"/>
                <w:szCs w:val="22"/>
                <w:lang w:val="uk-UA" w:eastAsia="uk-UA"/>
              </w:rPr>
              <w:t xml:space="preserve"> Аудиторські послуги".</w:t>
            </w:r>
          </w:p>
        </w:tc>
        <w:tc>
          <w:tcPr>
            <w:tcW w:w="1319"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F1DD25"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p>
        </w:tc>
        <w:tc>
          <w:tcPr>
            <w:tcW w:w="1319" w:type="pct"/>
            <w:tcBorders>
              <w:top w:val="single" w:sz="4" w:space="0" w:color="000000"/>
              <w:left w:val="single" w:sz="4" w:space="0" w:color="000000"/>
              <w:bottom w:val="single" w:sz="4" w:space="0" w:color="000000"/>
              <w:right w:val="single" w:sz="4" w:space="0" w:color="000000"/>
            </w:tcBorders>
          </w:tcPr>
          <w:p w14:paraId="6CBDA177" w14:textId="77777777" w:rsidR="00CA6D12" w:rsidRPr="004229C1" w:rsidRDefault="00CA6D12" w:rsidP="00FA3E07">
            <w:pPr>
              <w:widowControl w:val="0"/>
              <w:suppressAutoHyphens/>
              <w:autoSpaceDE w:val="0"/>
              <w:autoSpaceDN w:val="0"/>
              <w:adjustRightInd w:val="0"/>
              <w:spacing w:line="240" w:lineRule="auto"/>
              <w:contextualSpacing/>
              <w:jc w:val="both"/>
              <w:rPr>
                <w:rFonts w:ascii="Times New Roman" w:eastAsia="Times New Roman" w:hAnsi="Times New Roman" w:cs="Times New Roman"/>
                <w:b/>
                <w:sz w:val="22"/>
                <w:szCs w:val="22"/>
                <w:lang w:val="uk-UA" w:eastAsia="uk-UA"/>
              </w:rPr>
            </w:pPr>
          </w:p>
        </w:tc>
      </w:tr>
    </w:tbl>
    <w:p w14:paraId="071CD02E" w14:textId="77777777" w:rsidR="00CA6D12" w:rsidRPr="004229C1" w:rsidRDefault="00CA6D12" w:rsidP="00CA6D12">
      <w:pPr>
        <w:tabs>
          <w:tab w:val="left" w:pos="2395"/>
        </w:tabs>
        <w:spacing w:line="240" w:lineRule="auto"/>
        <w:contextualSpacing/>
        <w:jc w:val="both"/>
        <w:rPr>
          <w:rFonts w:ascii="Times New Roman" w:eastAsia="Times New Roman" w:hAnsi="Times New Roman" w:cs="Times New Roman"/>
          <w:b/>
          <w:i/>
          <w:iCs/>
          <w:sz w:val="22"/>
          <w:szCs w:val="22"/>
          <w:lang w:val="uk-UA"/>
        </w:rPr>
      </w:pPr>
      <w:r w:rsidRPr="004229C1">
        <w:rPr>
          <w:rFonts w:ascii="Times New Roman" w:eastAsia="Times New Roman" w:hAnsi="Times New Roman" w:cs="Times New Roman"/>
          <w:i/>
          <w:iCs/>
          <w:sz w:val="22"/>
          <w:szCs w:val="22"/>
          <w:lang w:val="uk-UA"/>
        </w:rPr>
        <w:t>*Враховуючи воєнний стан, що триває в Україні, постійну ймовірність обстрілів, організовано спільні засідання Комітету з питань аудиту та Комітету з управління ризиками з метою більш ефективного та продуктивного обговорення та розгляду питань, що належать до їх компетенції, протягом звітного року. Таким чином, слід зазначити, що кількість засідань Комітету з питань аудиту та Комітету з управління ризиками включає кількість спільних засідань Комітету з управління ризиками та Комітету з питань аудиту.</w:t>
      </w:r>
    </w:p>
    <w:p w14:paraId="66407D3C"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53115132"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Звіт ради</w:t>
      </w:r>
    </w:p>
    <w:p w14:paraId="19EA69DD" w14:textId="77777777" w:rsidR="002B4288" w:rsidRPr="004229C1" w:rsidRDefault="002B4288" w:rsidP="002B4288">
      <w:pPr>
        <w:tabs>
          <w:tab w:val="num" w:pos="339"/>
        </w:tabs>
        <w:spacing w:after="0" w:line="240" w:lineRule="auto"/>
        <w:jc w:val="both"/>
        <w:rPr>
          <w:rFonts w:ascii="Times New Roman" w:eastAsia="Calibri" w:hAnsi="Times New Roman" w:cs="Times New Roman"/>
          <w:lang w:val="uk-UA"/>
        </w:rPr>
      </w:pPr>
    </w:p>
    <w:p w14:paraId="50E77857" w14:textId="7E9AF65E" w:rsidR="00CA6D12" w:rsidRPr="004229C1" w:rsidRDefault="00CA6D12" w:rsidP="002B4288">
      <w:pPr>
        <w:tabs>
          <w:tab w:val="num" w:pos="339"/>
        </w:tabs>
        <w:spacing w:after="0" w:line="240" w:lineRule="auto"/>
        <w:jc w:val="both"/>
        <w:rPr>
          <w:rFonts w:ascii="Times New Roman" w:eastAsia="Times New Roman" w:hAnsi="Times New Roman" w:cs="Times New Roman"/>
          <w:b/>
          <w:lang w:val="uk-UA"/>
        </w:rPr>
      </w:pPr>
      <w:r w:rsidRPr="004229C1">
        <w:rPr>
          <w:rFonts w:ascii="Times New Roman" w:eastAsia="Calibri" w:hAnsi="Times New Roman" w:cs="Times New Roman"/>
          <w:lang w:val="uk-UA"/>
        </w:rPr>
        <w:t xml:space="preserve">Звіт Наглядової Ради за 2024 рік був затверджений рішенням Наглядової Ради Банку від 29 січня 2025 року, Протокол №2_24, питання 23 порядку денного, та поданий на розгляд Загальних Зборів акціонерів для подальшого затвердження. Наглядова Рада в своєму звіті здійснила оцінку свого складу та діяльності, а також комітетів Наглядової Ради, компетентності та ефективності Голови та членів Наглядової Ради, за результатами чого діяльність Наглядової Ради та кожного члена Наглядової Ради у 2024 році була оцінена як ефективна і підтверджено, що колективна придатність Наглядової Ради відповідає встановленим вимогам, </w:t>
      </w:r>
      <w:r w:rsidRPr="004229C1">
        <w:rPr>
          <w:rFonts w:ascii="Times New Roman" w:eastAsia="Times New Roman" w:hAnsi="Times New Roman" w:cs="Times New Roman"/>
          <w:lang w:val="uk-UA"/>
        </w:rPr>
        <w:t>зокрема:</w:t>
      </w:r>
    </w:p>
    <w:p w14:paraId="5B007573" w14:textId="77777777" w:rsidR="00CA6D12" w:rsidRPr="004229C1" w:rsidRDefault="00CA6D12" w:rsidP="002B4288">
      <w:pPr>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щодо оцінки складу, структури та діяльності Наглядової Ради Банку</w:t>
      </w:r>
      <w:r w:rsidRPr="004229C1">
        <w:rPr>
          <w:rFonts w:ascii="Times New Roman" w:eastAsia="Calibri" w:hAnsi="Times New Roman" w:cs="Times New Roman"/>
          <w:lang w:val="uk-UA"/>
        </w:rPr>
        <w:t xml:space="preserve"> було встановлено:</w:t>
      </w:r>
    </w:p>
    <w:p w14:paraId="3BA6A06F" w14:textId="77777777" w:rsidR="00CA6D12" w:rsidRPr="004229C1" w:rsidRDefault="00CA6D12"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Склад НР повністю відповідає законодавству України та внутрішнім нормативним документам в частині: (1) кількості членів НР, (2) наявності незалежних членів ( не менше третини – 3 члени), (3) відсутності факту </w:t>
      </w:r>
      <w:proofErr w:type="spellStart"/>
      <w:r w:rsidRPr="004229C1">
        <w:rPr>
          <w:rFonts w:ascii="Times New Roman" w:eastAsia="Calibri" w:hAnsi="Times New Roman" w:cs="Times New Roman"/>
          <w:lang w:val="uk-UA"/>
        </w:rPr>
        <w:t>очолення</w:t>
      </w:r>
      <w:proofErr w:type="spellEnd"/>
      <w:r w:rsidRPr="004229C1">
        <w:rPr>
          <w:rFonts w:ascii="Times New Roman" w:eastAsia="Calibri" w:hAnsi="Times New Roman" w:cs="Times New Roman"/>
          <w:lang w:val="uk-UA"/>
        </w:rPr>
        <w:t xml:space="preserve"> структурних підрозділів Банку Головою НР та займання посад Головою та членами НР в Банку, (4) відповідності вимоги щодо Голови та членів НР бути дієздатними фізичними особами, які відповідають кваліфікаційним вимогам щодо професійної придатності та ділової репутації, установленим законодавством, (5) колективної придатності НР, яка відповідає розміру, особливостям діяльності Банку, характеру і обсягам банківських та інших фінансових послуг, профілю ризику, системної важливості, діяльності банківської групи, до якої належить Банк.</w:t>
      </w:r>
    </w:p>
    <w:p w14:paraId="02658C22" w14:textId="77777777" w:rsidR="00CA6D12" w:rsidRPr="004229C1" w:rsidRDefault="00CA6D12"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ефективність діяльності НР дотримано на належному рівні в частині (1) скликання засідань у своїй більшості відповідно до затвердженого Плану роботи на 2023 р, середній коефіцієнт чергових та позачергових засідань складає – 61%/39%, (2) високого рівня відвідування членами НР засідань НР та її Комітетів, середній показник – 95%, (3) дотримання стратегічних цілей Банку</w:t>
      </w:r>
    </w:p>
    <w:p w14:paraId="0CBDA49C" w14:textId="77777777" w:rsidR="00CA6D12" w:rsidRPr="004229C1" w:rsidRDefault="00CA6D12"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Забезпечення розгляду та затвердження звітів, документів, інших рішень, що належать до її компетенції</w:t>
      </w:r>
    </w:p>
    <w:p w14:paraId="6260A740" w14:textId="77777777" w:rsidR="00CA6D12" w:rsidRPr="004229C1" w:rsidRDefault="00CA6D12" w:rsidP="002B4288">
      <w:pPr>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щодо оцінки компетентності та ефективності Голови та членів Наглядової Ради Банку</w:t>
      </w:r>
      <w:r w:rsidRPr="004229C1">
        <w:rPr>
          <w:rFonts w:ascii="Times New Roman" w:eastAsia="Calibri" w:hAnsi="Times New Roman" w:cs="Times New Roman"/>
          <w:lang w:val="uk-UA"/>
        </w:rPr>
        <w:t xml:space="preserve"> було визначено:</w:t>
      </w:r>
    </w:p>
    <w:p w14:paraId="30FD2406" w14:textId="77777777" w:rsidR="00CA6D12" w:rsidRPr="004229C1" w:rsidRDefault="00CA6D12" w:rsidP="002B4288">
      <w:pPr>
        <w:numPr>
          <w:ilvl w:val="0"/>
          <w:numId w:val="15"/>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i/>
          <w:iCs/>
          <w:lang w:val="uk-UA"/>
        </w:rPr>
        <w:t>освіта та професійна підготовка</w:t>
      </w:r>
      <w:r w:rsidRPr="004229C1">
        <w:rPr>
          <w:rFonts w:ascii="Times New Roman" w:eastAsia="Calibri" w:hAnsi="Times New Roman" w:cs="Times New Roman"/>
          <w:lang w:val="uk-UA"/>
        </w:rPr>
        <w:t xml:space="preserve"> (вища освіта, досвід роботи в банківському/фінансовому секторі - принаймні третина членів повинні мати більше 3х років відповідного досвіду).</w:t>
      </w:r>
    </w:p>
    <w:p w14:paraId="7A5BC64E" w14:textId="77777777" w:rsidR="00CA6D12" w:rsidRPr="004229C1" w:rsidRDefault="00CA6D12" w:rsidP="002B4288">
      <w:pPr>
        <w:tabs>
          <w:tab w:val="left" w:pos="2395"/>
        </w:tabs>
        <w:spacing w:after="0" w:line="240" w:lineRule="auto"/>
        <w:ind w:left="360"/>
        <w:jc w:val="both"/>
        <w:rPr>
          <w:rFonts w:ascii="Times New Roman" w:eastAsia="Calibri" w:hAnsi="Times New Roman" w:cs="Times New Roman"/>
          <w:b/>
          <w:lang w:val="uk-UA"/>
        </w:rPr>
      </w:pPr>
      <w:r w:rsidRPr="004229C1">
        <w:rPr>
          <w:rFonts w:ascii="Times New Roman" w:eastAsia="Calibri" w:hAnsi="Times New Roman" w:cs="Times New Roman"/>
          <w:lang w:val="uk-UA"/>
        </w:rPr>
        <w:t>Наглядова Рада повністю відповідає вимогам Банку щодо наявних навичок і досвіду з огляду на розмір Банку, враховуючи значний відповідний досвід Голови та членів Наглядової Ради, якого достатньо для повного та глибокого аналізу всіх питань, поданих на розгляд Наглядової Ради та комітетів Наглядової Ради. Фінансова освіта та значний досвід роботи, набутий всіма членами Наглядової Ради повністю охоплюють сфери продуктів Банку та профілю ризику.</w:t>
      </w:r>
    </w:p>
    <w:p w14:paraId="2DD38D28" w14:textId="77777777" w:rsidR="00CA6D12" w:rsidRPr="004229C1" w:rsidRDefault="00CA6D12" w:rsidP="002B4288">
      <w:pPr>
        <w:numPr>
          <w:ilvl w:val="0"/>
          <w:numId w:val="15"/>
        </w:numPr>
        <w:tabs>
          <w:tab w:val="left" w:pos="2395"/>
        </w:tabs>
        <w:spacing w:after="0" w:line="240" w:lineRule="auto"/>
        <w:jc w:val="both"/>
        <w:rPr>
          <w:rFonts w:ascii="Times New Roman" w:eastAsia="Calibri" w:hAnsi="Times New Roman" w:cs="Times New Roman"/>
          <w:b/>
          <w:i/>
          <w:iCs/>
          <w:lang w:val="uk-UA"/>
        </w:rPr>
      </w:pPr>
      <w:r w:rsidRPr="004229C1">
        <w:rPr>
          <w:rFonts w:ascii="Times New Roman" w:eastAsia="Calibri" w:hAnsi="Times New Roman" w:cs="Times New Roman"/>
          <w:i/>
          <w:iCs/>
          <w:lang w:val="uk-UA"/>
        </w:rPr>
        <w:t>незалежність думки та конфлікт інтересів</w:t>
      </w:r>
    </w:p>
    <w:p w14:paraId="27DB03E3" w14:textId="77777777" w:rsidR="00CA6D12" w:rsidRPr="004229C1" w:rsidRDefault="00CA6D12" w:rsidP="002B4288">
      <w:pPr>
        <w:tabs>
          <w:tab w:val="left" w:pos="2395"/>
        </w:tabs>
        <w:spacing w:after="0" w:line="240" w:lineRule="auto"/>
        <w:ind w:left="360"/>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Голова та члени Наглядової Ради мають незалежну думку, що дозволяє робити висновки, не піддаючись впливам, які компрометують професійне судження, дозволяючи діяти чесно, виявляти об’єктивність і професійний скептицизм. Протягом 2024 року не було заявлено або виявлено жодних фактів конфлікту інтересів серед членів Наглядової Ради </w:t>
      </w:r>
    </w:p>
    <w:p w14:paraId="1830D277" w14:textId="77777777" w:rsidR="00CA6D12" w:rsidRPr="004229C1" w:rsidRDefault="00CA6D12" w:rsidP="002B4288">
      <w:pPr>
        <w:numPr>
          <w:ilvl w:val="0"/>
          <w:numId w:val="15"/>
        </w:numPr>
        <w:tabs>
          <w:tab w:val="left" w:pos="2395"/>
        </w:tabs>
        <w:spacing w:after="0" w:line="240" w:lineRule="auto"/>
        <w:jc w:val="both"/>
        <w:rPr>
          <w:rFonts w:ascii="Times New Roman" w:eastAsia="Calibri" w:hAnsi="Times New Roman" w:cs="Times New Roman"/>
          <w:b/>
          <w:i/>
          <w:iCs/>
          <w:lang w:val="uk-UA"/>
        </w:rPr>
      </w:pPr>
      <w:r w:rsidRPr="004229C1">
        <w:rPr>
          <w:rFonts w:ascii="Times New Roman" w:eastAsia="Calibri" w:hAnsi="Times New Roman" w:cs="Times New Roman"/>
          <w:i/>
          <w:iCs/>
          <w:lang w:val="uk-UA"/>
        </w:rPr>
        <w:t>критерії незалежності для незалежних членів Наглядової Ради</w:t>
      </w:r>
    </w:p>
    <w:p w14:paraId="2406DF25" w14:textId="77777777" w:rsidR="00CA6D12" w:rsidRPr="004229C1" w:rsidRDefault="00CA6D12" w:rsidP="002B4288">
      <w:pPr>
        <w:tabs>
          <w:tab w:val="left" w:pos="2395"/>
        </w:tabs>
        <w:spacing w:after="0" w:line="240" w:lineRule="auto"/>
        <w:ind w:left="360"/>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Незалежні члени Наглядової ради, а саме пан </w:t>
      </w:r>
      <w:proofErr w:type="spellStart"/>
      <w:r w:rsidRPr="004229C1">
        <w:rPr>
          <w:rFonts w:ascii="Times New Roman" w:eastAsia="Calibri" w:hAnsi="Times New Roman" w:cs="Times New Roman"/>
          <w:lang w:val="uk-UA"/>
        </w:rPr>
        <w:t>Коррадо</w:t>
      </w:r>
      <w:proofErr w:type="spellEnd"/>
      <w:r w:rsidRPr="004229C1">
        <w:rPr>
          <w:rFonts w:ascii="Times New Roman" w:eastAsia="Calibri" w:hAnsi="Times New Roman" w:cs="Times New Roman"/>
          <w:lang w:val="uk-UA"/>
        </w:rPr>
        <w:t xml:space="preserve"> </w:t>
      </w:r>
      <w:proofErr w:type="spellStart"/>
      <w:r w:rsidRPr="004229C1">
        <w:rPr>
          <w:rFonts w:ascii="Times New Roman" w:eastAsia="Calibri" w:hAnsi="Times New Roman" w:cs="Times New Roman"/>
          <w:lang w:val="uk-UA"/>
        </w:rPr>
        <w:t>П’єтро</w:t>
      </w:r>
      <w:proofErr w:type="spellEnd"/>
      <w:r w:rsidRPr="004229C1">
        <w:rPr>
          <w:rFonts w:ascii="Times New Roman" w:eastAsia="Calibri" w:hAnsi="Times New Roman" w:cs="Times New Roman"/>
          <w:lang w:val="uk-UA"/>
        </w:rPr>
        <w:t xml:space="preserve"> Марія </w:t>
      </w:r>
      <w:proofErr w:type="spellStart"/>
      <w:r w:rsidRPr="004229C1">
        <w:rPr>
          <w:rFonts w:ascii="Times New Roman" w:eastAsia="Calibri" w:hAnsi="Times New Roman" w:cs="Times New Roman"/>
          <w:lang w:val="uk-UA"/>
        </w:rPr>
        <w:t>Казаліно</w:t>
      </w:r>
      <w:proofErr w:type="spellEnd"/>
      <w:r w:rsidRPr="004229C1">
        <w:rPr>
          <w:rFonts w:ascii="Times New Roman" w:eastAsia="Calibri" w:hAnsi="Times New Roman" w:cs="Times New Roman"/>
          <w:lang w:val="uk-UA"/>
        </w:rPr>
        <w:t xml:space="preserve">, пан </w:t>
      </w:r>
      <w:proofErr w:type="spellStart"/>
      <w:r w:rsidRPr="004229C1">
        <w:rPr>
          <w:rFonts w:ascii="Times New Roman" w:eastAsia="Calibri" w:hAnsi="Times New Roman" w:cs="Times New Roman"/>
          <w:lang w:val="uk-UA"/>
        </w:rPr>
        <w:t>Фабріціо</w:t>
      </w:r>
      <w:proofErr w:type="spellEnd"/>
      <w:r w:rsidRPr="004229C1">
        <w:rPr>
          <w:rFonts w:ascii="Times New Roman" w:eastAsia="Calibri" w:hAnsi="Times New Roman" w:cs="Times New Roman"/>
          <w:lang w:val="uk-UA"/>
        </w:rPr>
        <w:t xml:space="preserve"> </w:t>
      </w:r>
      <w:proofErr w:type="spellStart"/>
      <w:r w:rsidRPr="004229C1">
        <w:rPr>
          <w:rFonts w:ascii="Times New Roman" w:eastAsia="Calibri" w:hAnsi="Times New Roman" w:cs="Times New Roman"/>
          <w:lang w:val="uk-UA"/>
        </w:rPr>
        <w:t>Маллен</w:t>
      </w:r>
      <w:proofErr w:type="spellEnd"/>
      <w:r w:rsidRPr="004229C1">
        <w:rPr>
          <w:rFonts w:ascii="Times New Roman" w:eastAsia="Calibri" w:hAnsi="Times New Roman" w:cs="Times New Roman"/>
          <w:lang w:val="uk-UA"/>
        </w:rPr>
        <w:t xml:space="preserve">, пані Лаура </w:t>
      </w:r>
      <w:proofErr w:type="spellStart"/>
      <w:r w:rsidRPr="004229C1">
        <w:rPr>
          <w:rFonts w:ascii="Times New Roman" w:eastAsia="Calibri" w:hAnsi="Times New Roman" w:cs="Times New Roman"/>
          <w:lang w:val="uk-UA"/>
        </w:rPr>
        <w:t>Феббраро</w:t>
      </w:r>
      <w:proofErr w:type="spellEnd"/>
      <w:r w:rsidRPr="004229C1">
        <w:rPr>
          <w:rFonts w:ascii="Times New Roman" w:eastAsia="Calibri" w:hAnsi="Times New Roman" w:cs="Times New Roman"/>
          <w:lang w:val="uk-UA"/>
        </w:rPr>
        <w:t>, повністю відповідають вимогам щодо незалежності членів Наглядової Ради, встановленим законами України «Про акціонерні товариства», «Про банки і банківську діяльність», іншими актами Національного банку України та внутрішніми документами Банку.</w:t>
      </w:r>
    </w:p>
    <w:p w14:paraId="36AB65F5" w14:textId="77777777" w:rsidR="00CA6D12" w:rsidRPr="004229C1" w:rsidRDefault="00CA6D12" w:rsidP="002B4288">
      <w:pPr>
        <w:numPr>
          <w:ilvl w:val="0"/>
          <w:numId w:val="15"/>
        </w:numPr>
        <w:tabs>
          <w:tab w:val="left" w:pos="2395"/>
        </w:tabs>
        <w:spacing w:after="0" w:line="240" w:lineRule="auto"/>
        <w:jc w:val="both"/>
        <w:rPr>
          <w:rFonts w:ascii="Times New Roman" w:eastAsia="Calibri" w:hAnsi="Times New Roman" w:cs="Times New Roman"/>
          <w:b/>
          <w:i/>
          <w:iCs/>
          <w:lang w:val="uk-UA"/>
        </w:rPr>
      </w:pPr>
      <w:r w:rsidRPr="004229C1">
        <w:rPr>
          <w:rFonts w:ascii="Times New Roman" w:eastAsia="Calibri" w:hAnsi="Times New Roman" w:cs="Times New Roman"/>
          <w:i/>
          <w:iCs/>
          <w:lang w:val="uk-UA"/>
        </w:rPr>
        <w:t>бездоганна ділова репутація</w:t>
      </w:r>
    </w:p>
    <w:p w14:paraId="687347D6" w14:textId="77777777" w:rsidR="00CA6D12" w:rsidRPr="004229C1" w:rsidRDefault="00CA6D12" w:rsidP="002B4288">
      <w:pPr>
        <w:tabs>
          <w:tab w:val="left" w:pos="2395"/>
        </w:tabs>
        <w:spacing w:after="0" w:line="240" w:lineRule="auto"/>
        <w:ind w:left="360"/>
        <w:jc w:val="both"/>
        <w:rPr>
          <w:rFonts w:ascii="Times New Roman" w:eastAsia="Calibri" w:hAnsi="Times New Roman" w:cs="Times New Roman"/>
          <w:b/>
          <w:lang w:val="uk-UA"/>
        </w:rPr>
      </w:pPr>
      <w:r w:rsidRPr="004229C1">
        <w:rPr>
          <w:rFonts w:ascii="Times New Roman" w:eastAsia="Calibri" w:hAnsi="Times New Roman" w:cs="Times New Roman"/>
          <w:lang w:val="uk-UA"/>
        </w:rPr>
        <w:t>Протягом 2024 року не виявлено жодних ознак , які могли б свідчити про порушення вимог щодо бездоганної ділової репутації Голови та/або членів Наглядової Ради.</w:t>
      </w:r>
    </w:p>
    <w:p w14:paraId="2997C2CC" w14:textId="77777777" w:rsidR="00CA6D12" w:rsidRPr="004229C1" w:rsidRDefault="00CA6D12" w:rsidP="002B4288">
      <w:pPr>
        <w:numPr>
          <w:ilvl w:val="0"/>
          <w:numId w:val="15"/>
        </w:numPr>
        <w:tabs>
          <w:tab w:val="left" w:pos="2395"/>
        </w:tabs>
        <w:spacing w:after="0" w:line="240" w:lineRule="auto"/>
        <w:jc w:val="both"/>
        <w:rPr>
          <w:rFonts w:ascii="Times New Roman" w:eastAsia="Calibri" w:hAnsi="Times New Roman" w:cs="Times New Roman"/>
          <w:b/>
          <w:i/>
          <w:iCs/>
          <w:lang w:val="uk-UA"/>
        </w:rPr>
      </w:pPr>
      <w:r w:rsidRPr="004229C1">
        <w:rPr>
          <w:rFonts w:ascii="Times New Roman" w:eastAsia="Calibri" w:hAnsi="Times New Roman" w:cs="Times New Roman"/>
          <w:i/>
          <w:iCs/>
          <w:lang w:val="uk-UA"/>
        </w:rPr>
        <w:t>час, присвячений виконання обов´язків</w:t>
      </w:r>
    </w:p>
    <w:p w14:paraId="3E18CEB9" w14:textId="77777777" w:rsidR="00CA6D12" w:rsidRPr="004229C1" w:rsidRDefault="00CA6D12" w:rsidP="002B4288">
      <w:pPr>
        <w:tabs>
          <w:tab w:val="left" w:pos="2395"/>
        </w:tabs>
        <w:spacing w:after="0" w:line="240" w:lineRule="auto"/>
        <w:ind w:left="360"/>
        <w:jc w:val="both"/>
        <w:rPr>
          <w:rFonts w:ascii="Times New Roman" w:eastAsia="Calibri" w:hAnsi="Times New Roman" w:cs="Times New Roman"/>
          <w:b/>
          <w:lang w:val="uk-UA"/>
        </w:rPr>
      </w:pPr>
      <w:r w:rsidRPr="004229C1">
        <w:rPr>
          <w:rFonts w:ascii="Times New Roman" w:eastAsia="Calibri" w:hAnsi="Times New Roman" w:cs="Times New Roman"/>
          <w:lang w:val="uk-UA"/>
        </w:rPr>
        <w:t>Голова та члени Наглядової Ради вносять значний внесок у ефективну роботу Наглядової Ради та комітетів Наглядової Ради, приділяють достатньо часу виконанню своїх обов’язків.</w:t>
      </w:r>
    </w:p>
    <w:p w14:paraId="58BF550A" w14:textId="77777777" w:rsidR="00CA6D12" w:rsidRPr="004229C1" w:rsidRDefault="00CA6D12" w:rsidP="002B4288">
      <w:pPr>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щодо оцінки виконання Наглядовою Радою поставлених цілей, впливу рішень, прийнятих Наглядовою Радою протягом звітного періоду, на досягнення поставлених перед особою стратегічних цілей</w:t>
      </w:r>
      <w:r w:rsidRPr="004229C1">
        <w:rPr>
          <w:rFonts w:ascii="Times New Roman" w:eastAsia="Calibri" w:hAnsi="Times New Roman" w:cs="Times New Roman"/>
          <w:lang w:val="uk-UA"/>
        </w:rPr>
        <w:t>, було встановлено, що:</w:t>
      </w:r>
    </w:p>
    <w:p w14:paraId="3F2E4590" w14:textId="77777777" w:rsidR="00CA6D12" w:rsidRPr="004229C1" w:rsidRDefault="00CA6D12" w:rsidP="002B4288">
      <w:pPr>
        <w:numPr>
          <w:ilvl w:val="0"/>
          <w:numId w:val="14"/>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Наглядова рада, в межах своєї компетенції, визначеної законодавством та статутними документами Банку, у 2024 році здійснювала свою діяльність для забезпечення досягнення визначених стратегічних цілей Банку відповідно до стратегії, визначеної Загальними зборами акціонерів, приймала відповідні рішення, затверджувала внутрішні документи з питань управління ризиками, комплаєнсу, протидії відмиванню коштів, кадрової політики, корпоративного управління з метою забезпечення належного функціонування системи управління ризиками в Банку, дотримання Банком нормативних/пруденційних показників, удосконалення корпоративного управління, своєчасної імплементації нових вимог законодавства у внутрішні документи Банку, належного виконання рекомендацій, наданих, зокрема, департаменту внутрішнього аудиту, НБУ (серед іншого, SREP), іншими органами влади, а також з метою забезпечення належного функціонування системи управління ризиками в Банку, дотримання Банком нормативних/пруденційних показників, посилення моніторингу у сфері протидії легалізації доходів, одержаних злочинним шляхом, і, звичайно, безперервна робота Банку в умовах воєнного стану, тощо.</w:t>
      </w:r>
    </w:p>
    <w:p w14:paraId="6D2F727C" w14:textId="77777777" w:rsidR="00CA6D12" w:rsidRPr="004229C1" w:rsidRDefault="00CA6D12" w:rsidP="002B4288">
      <w:pPr>
        <w:numPr>
          <w:ilvl w:val="0"/>
          <w:numId w:val="14"/>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Важливою складовою діяльності Наглядової ради у 2024 році щодо дотримання стратегії Банку та виконання цілей Банку було збереження фінансової стійкості Банку, достатності капіталу, дотримання вимог законодавства з виявленням можливих загроз такій стійкості, а також оперативне реагування на загрози фінансовій стійкості та/або їх уникнення. З цією метою Наглядова рада розглядала звітність про управління ризики, фінансову звітність, звітність комплаєнс та фінансового моніторингу та </w:t>
      </w:r>
      <w:proofErr w:type="spellStart"/>
      <w:r w:rsidRPr="004229C1">
        <w:rPr>
          <w:rFonts w:ascii="Times New Roman" w:eastAsia="Calibri" w:hAnsi="Times New Roman" w:cs="Times New Roman"/>
          <w:lang w:val="uk-UA"/>
        </w:rPr>
        <w:t>оперативно</w:t>
      </w:r>
      <w:proofErr w:type="spellEnd"/>
      <w:r w:rsidRPr="004229C1">
        <w:rPr>
          <w:rFonts w:ascii="Times New Roman" w:eastAsia="Calibri" w:hAnsi="Times New Roman" w:cs="Times New Roman"/>
          <w:lang w:val="uk-UA"/>
        </w:rPr>
        <w:t xml:space="preserve"> реагувала і надавала рекомендації щодо мінімізації ризиків.</w:t>
      </w:r>
    </w:p>
    <w:p w14:paraId="504802B2" w14:textId="77777777" w:rsidR="00CA6D12" w:rsidRPr="004229C1" w:rsidRDefault="00CA6D12"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Діяльність Наглядової Ради</w:t>
      </w:r>
      <w:r w:rsidRPr="004229C1">
        <w:rPr>
          <w:rFonts w:ascii="Times New Roman" w:eastAsia="Calibri" w:hAnsi="Times New Roman" w:cs="Times New Roman"/>
          <w:i/>
          <w:iCs/>
          <w:lang w:val="uk-UA"/>
        </w:rPr>
        <w:t xml:space="preserve">, </w:t>
      </w:r>
      <w:r w:rsidRPr="004229C1">
        <w:rPr>
          <w:rFonts w:ascii="Times New Roman" w:eastAsia="Calibri" w:hAnsi="Times New Roman" w:cs="Times New Roman"/>
          <w:lang w:val="uk-UA"/>
        </w:rPr>
        <w:t xml:space="preserve">незважаючи на складну воєнну обстановку в Україні, </w:t>
      </w:r>
      <w:r w:rsidRPr="004229C1">
        <w:rPr>
          <w:rFonts w:ascii="Times New Roman" w:eastAsia="Calibri" w:hAnsi="Times New Roman" w:cs="Times New Roman"/>
          <w:bCs/>
          <w:lang w:val="uk-UA"/>
        </w:rPr>
        <w:t>призвела до наступних результатів фінансово-господарської діяльності Банку:</w:t>
      </w:r>
    </w:p>
    <w:p w14:paraId="759C460B" w14:textId="77777777" w:rsidR="00CA6D12" w:rsidRPr="004229C1" w:rsidRDefault="00CA6D12" w:rsidP="002B4288">
      <w:pPr>
        <w:widowControl w:val="0"/>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w:t>
      </w:r>
      <w:r w:rsidRPr="004229C1">
        <w:rPr>
          <w:rFonts w:ascii="Times New Roman" w:eastAsia="Calibri" w:hAnsi="Times New Roman" w:cs="Times New Roman"/>
          <w:lang w:val="uk-UA"/>
        </w:rPr>
        <w:tab/>
        <w:t>безперебійну роботу Банку,</w:t>
      </w:r>
    </w:p>
    <w:p w14:paraId="07381CF8" w14:textId="77777777" w:rsidR="00CA6D12" w:rsidRPr="004229C1" w:rsidRDefault="00CA6D12" w:rsidP="002B4288">
      <w:pPr>
        <w:widowControl w:val="0"/>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w:t>
      </w:r>
      <w:r w:rsidRPr="004229C1">
        <w:rPr>
          <w:rFonts w:ascii="Times New Roman" w:eastAsia="Calibri" w:hAnsi="Times New Roman" w:cs="Times New Roman"/>
          <w:lang w:val="uk-UA"/>
        </w:rPr>
        <w:tab/>
        <w:t>вдосконалення організації діяльності з ПВК/ФТ в Банку,</w:t>
      </w:r>
    </w:p>
    <w:p w14:paraId="0EBC0B12" w14:textId="77777777" w:rsidR="00CA6D12" w:rsidRPr="004229C1" w:rsidRDefault="00CA6D12" w:rsidP="002B4288">
      <w:pPr>
        <w:widowControl w:val="0"/>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w:t>
      </w:r>
      <w:r w:rsidRPr="004229C1">
        <w:rPr>
          <w:rFonts w:ascii="Times New Roman" w:eastAsia="Calibri" w:hAnsi="Times New Roman" w:cs="Times New Roman"/>
          <w:lang w:val="uk-UA"/>
        </w:rPr>
        <w:tab/>
        <w:t>розширення фінансової інвестиційної політики,</w:t>
      </w:r>
    </w:p>
    <w:p w14:paraId="5F01751F" w14:textId="77777777" w:rsidR="00CA6D12" w:rsidRPr="004229C1" w:rsidRDefault="00CA6D12" w:rsidP="002B4288">
      <w:pPr>
        <w:widowControl w:val="0"/>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w:t>
      </w:r>
      <w:r w:rsidRPr="004229C1">
        <w:rPr>
          <w:rFonts w:ascii="Times New Roman" w:eastAsia="Calibri" w:hAnsi="Times New Roman" w:cs="Times New Roman"/>
          <w:lang w:val="uk-UA"/>
        </w:rPr>
        <w:tab/>
        <w:t>дотримання регуляторних/пруденційних нормативів,</w:t>
      </w:r>
    </w:p>
    <w:p w14:paraId="55F72052" w14:textId="77777777" w:rsidR="00CA6D12" w:rsidRPr="004229C1" w:rsidRDefault="00CA6D12" w:rsidP="002B4288">
      <w:pPr>
        <w:widowControl w:val="0"/>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w:t>
      </w:r>
      <w:r w:rsidRPr="004229C1">
        <w:rPr>
          <w:rFonts w:ascii="Times New Roman" w:eastAsia="Calibri" w:hAnsi="Times New Roman" w:cs="Times New Roman"/>
          <w:lang w:val="uk-UA"/>
        </w:rPr>
        <w:tab/>
        <w:t>вирішення питання капіталізації.</w:t>
      </w:r>
    </w:p>
    <w:p w14:paraId="7F82B045" w14:textId="00B4952D" w:rsidR="00CA6D12" w:rsidRPr="004229C1" w:rsidRDefault="00CA6D12" w:rsidP="00CA6D12">
      <w:pPr>
        <w:widowControl w:val="0"/>
        <w:autoSpaceDE w:val="0"/>
        <w:autoSpaceDN w:val="0"/>
        <w:adjustRightInd w:val="0"/>
        <w:spacing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Детальна інформація щодо Звіту Наглядової Ради за 2024 рік розміщена на власному веб-сайті Банку за посиланням: </w:t>
      </w:r>
      <w:hyperlink r:id="rId33" w:history="1">
        <w:r w:rsidRPr="004229C1">
          <w:rPr>
            <w:rStyle w:val="Hyperlink"/>
            <w:rFonts w:ascii="Times New Roman" w:hAnsi="Times New Roman" w:cs="Times New Roman"/>
            <w:lang w:val="uk-UA"/>
          </w:rPr>
          <w:t>https://www.pravex.com.ua/storage/files/ukr-sb-report.rar</w:t>
        </w:r>
      </w:hyperlink>
      <w:r w:rsidRPr="004229C1">
        <w:rPr>
          <w:rFonts w:ascii="Times New Roman" w:hAnsi="Times New Roman" w:cs="Times New Roman"/>
          <w:lang w:val="uk-UA"/>
        </w:rPr>
        <w:t xml:space="preserve"> </w:t>
      </w:r>
    </w:p>
    <w:p w14:paraId="2DA36EF5"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71E482CB"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Частина 5. Виконавчий орган</w:t>
      </w:r>
    </w:p>
    <w:p w14:paraId="667AA51F"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Персональний склад колегіального виконавчого органу та його комітетів</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851"/>
        <w:gridCol w:w="567"/>
        <w:gridCol w:w="850"/>
        <w:gridCol w:w="992"/>
        <w:gridCol w:w="851"/>
        <w:gridCol w:w="880"/>
        <w:gridCol w:w="753"/>
        <w:gridCol w:w="1021"/>
        <w:gridCol w:w="753"/>
        <w:gridCol w:w="740"/>
        <w:gridCol w:w="927"/>
      </w:tblGrid>
      <w:tr w:rsidR="00CA6D12" w:rsidRPr="004229C1" w14:paraId="1F011B1E" w14:textId="77777777" w:rsidTr="00FA3E07">
        <w:trPr>
          <w:trHeight w:val="57"/>
        </w:trPr>
        <w:tc>
          <w:tcPr>
            <w:tcW w:w="1271" w:type="dxa"/>
            <w:vMerge w:val="restart"/>
            <w:vAlign w:val="center"/>
          </w:tcPr>
          <w:p w14:paraId="0AA777AA" w14:textId="77777777" w:rsidR="00CA6D12" w:rsidRPr="004229C1" w:rsidRDefault="00CA6D12" w:rsidP="002B4288">
            <w:pPr>
              <w:spacing w:after="0" w:line="240" w:lineRule="auto"/>
              <w:rPr>
                <w:rFonts w:ascii="Times New Roman" w:eastAsia="Calibri" w:hAnsi="Times New Roman" w:cs="Times New Roman"/>
                <w:sz w:val="20"/>
                <w:szCs w:val="20"/>
                <w:lang w:val="uk-UA"/>
              </w:rPr>
            </w:pPr>
          </w:p>
          <w:p w14:paraId="55A664A3"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ПІБ члена Правління, термін повноважень у звітному періоді</w:t>
            </w:r>
          </w:p>
        </w:tc>
        <w:tc>
          <w:tcPr>
            <w:tcW w:w="851" w:type="dxa"/>
            <w:vMerge w:val="restart"/>
            <w:vAlign w:val="center"/>
            <w:hideMark/>
          </w:tcPr>
          <w:p w14:paraId="6B6F9DAD"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Голова (X) / Заступник голови (Y) Правління</w:t>
            </w:r>
          </w:p>
        </w:tc>
        <w:tc>
          <w:tcPr>
            <w:tcW w:w="8334" w:type="dxa"/>
            <w:gridSpan w:val="10"/>
            <w:vAlign w:val="center"/>
            <w:hideMark/>
          </w:tcPr>
          <w:p w14:paraId="3400D53C"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Голова (X) / член (V) комітету Правління</w:t>
            </w:r>
          </w:p>
        </w:tc>
      </w:tr>
      <w:tr w:rsidR="00CA6D12" w:rsidRPr="004229C1" w14:paraId="0997CD66" w14:textId="77777777" w:rsidTr="00FA3E07">
        <w:trPr>
          <w:trHeight w:val="57"/>
        </w:trPr>
        <w:tc>
          <w:tcPr>
            <w:tcW w:w="1271" w:type="dxa"/>
            <w:vMerge/>
            <w:vAlign w:val="center"/>
            <w:hideMark/>
          </w:tcPr>
          <w:p w14:paraId="087A09D8" w14:textId="77777777" w:rsidR="00CA6D12" w:rsidRPr="004229C1" w:rsidRDefault="00CA6D12" w:rsidP="002B4288">
            <w:pPr>
              <w:spacing w:after="0" w:line="240" w:lineRule="auto"/>
              <w:rPr>
                <w:rFonts w:ascii="Times New Roman" w:eastAsia="Calibri" w:hAnsi="Times New Roman" w:cs="Times New Roman"/>
                <w:sz w:val="20"/>
                <w:szCs w:val="20"/>
                <w:lang w:val="uk-UA"/>
              </w:rPr>
            </w:pPr>
          </w:p>
        </w:tc>
        <w:tc>
          <w:tcPr>
            <w:tcW w:w="851" w:type="dxa"/>
            <w:vMerge/>
            <w:vAlign w:val="center"/>
            <w:hideMark/>
          </w:tcPr>
          <w:p w14:paraId="4CD862EF" w14:textId="77777777" w:rsidR="00CA6D12" w:rsidRPr="004229C1" w:rsidRDefault="00CA6D12" w:rsidP="002B4288">
            <w:pPr>
              <w:spacing w:after="0" w:line="240" w:lineRule="auto"/>
              <w:rPr>
                <w:rFonts w:ascii="Times New Roman" w:eastAsia="Calibri" w:hAnsi="Times New Roman" w:cs="Times New Roman"/>
                <w:sz w:val="20"/>
                <w:szCs w:val="20"/>
                <w:lang w:val="uk-UA"/>
              </w:rPr>
            </w:pPr>
          </w:p>
        </w:tc>
        <w:tc>
          <w:tcPr>
            <w:tcW w:w="567" w:type="dxa"/>
            <w:vAlign w:val="center"/>
            <w:hideMark/>
          </w:tcPr>
          <w:p w14:paraId="24583EE5"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Кредитний комітет (КК)</w:t>
            </w:r>
          </w:p>
        </w:tc>
        <w:tc>
          <w:tcPr>
            <w:tcW w:w="850" w:type="dxa"/>
            <w:vAlign w:val="center"/>
            <w:hideMark/>
          </w:tcPr>
          <w:p w14:paraId="6871A963"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кредитним ризиком (КУКР)</w:t>
            </w:r>
          </w:p>
        </w:tc>
        <w:tc>
          <w:tcPr>
            <w:tcW w:w="992" w:type="dxa"/>
            <w:vAlign w:val="center"/>
            <w:hideMark/>
          </w:tcPr>
          <w:p w14:paraId="6B7C1EC4"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непрацюючими активами (КУНА)</w:t>
            </w:r>
          </w:p>
        </w:tc>
        <w:tc>
          <w:tcPr>
            <w:tcW w:w="851" w:type="dxa"/>
            <w:vAlign w:val="center"/>
            <w:hideMark/>
          </w:tcPr>
          <w:p w14:paraId="13B5434F"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активами та пасивами (КУАП)</w:t>
            </w:r>
          </w:p>
        </w:tc>
        <w:tc>
          <w:tcPr>
            <w:tcW w:w="880" w:type="dxa"/>
            <w:vAlign w:val="center"/>
            <w:hideMark/>
          </w:tcPr>
          <w:p w14:paraId="2BE3FC27"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операційним ризиком (КУОР)</w:t>
            </w:r>
          </w:p>
        </w:tc>
        <w:tc>
          <w:tcPr>
            <w:tcW w:w="753" w:type="dxa"/>
            <w:vAlign w:val="center"/>
            <w:hideMark/>
          </w:tcPr>
          <w:p w14:paraId="644D1E76"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управління змінами (КУЗ)</w:t>
            </w:r>
          </w:p>
        </w:tc>
        <w:tc>
          <w:tcPr>
            <w:tcW w:w="1021" w:type="dxa"/>
            <w:vAlign w:val="center"/>
            <w:hideMark/>
          </w:tcPr>
          <w:p w14:paraId="7D967AD7"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інформаційною безпекою (КУІБ)</w:t>
            </w:r>
          </w:p>
        </w:tc>
        <w:tc>
          <w:tcPr>
            <w:tcW w:w="753" w:type="dxa"/>
            <w:vAlign w:val="center"/>
            <w:hideMark/>
          </w:tcPr>
          <w:p w14:paraId="10F3927A"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управління кризою (КУЗ)</w:t>
            </w:r>
          </w:p>
        </w:tc>
        <w:tc>
          <w:tcPr>
            <w:tcW w:w="740" w:type="dxa"/>
            <w:vAlign w:val="center"/>
            <w:hideMark/>
          </w:tcPr>
          <w:p w14:paraId="6B471C46"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Тендерний комітет (ТК)</w:t>
            </w:r>
          </w:p>
        </w:tc>
        <w:tc>
          <w:tcPr>
            <w:tcW w:w="927" w:type="dxa"/>
            <w:vAlign w:val="center"/>
            <w:hideMark/>
          </w:tcPr>
          <w:p w14:paraId="22148DFC" w14:textId="77777777" w:rsidR="00CA6D12" w:rsidRPr="004229C1" w:rsidRDefault="00CA6D12" w:rsidP="002B4288">
            <w:pPr>
              <w:spacing w:after="0" w:line="240" w:lineRule="auto"/>
              <w:rPr>
                <w:rFonts w:ascii="Times New Roman" w:eastAsia="Calibri" w:hAnsi="Times New Roman" w:cs="Times New Roman"/>
                <w:sz w:val="20"/>
                <w:szCs w:val="20"/>
                <w:lang w:val="uk-UA"/>
              </w:rPr>
            </w:pPr>
            <w:r w:rsidRPr="004229C1">
              <w:rPr>
                <w:rFonts w:ascii="Times New Roman" w:eastAsia="Calibri" w:hAnsi="Times New Roman" w:cs="Times New Roman"/>
                <w:sz w:val="20"/>
                <w:szCs w:val="20"/>
                <w:lang w:val="uk-UA"/>
              </w:rPr>
              <w:t>Комітет з екологічних, соціальних та управлінських питань</w:t>
            </w:r>
            <w:r w:rsidRPr="004229C1">
              <w:rPr>
                <w:rFonts w:ascii="Times New Roman" w:eastAsia="Calibri" w:hAnsi="Times New Roman" w:cs="Times New Roman"/>
                <w:sz w:val="20"/>
                <w:szCs w:val="20"/>
                <w:vertAlign w:val="superscript"/>
                <w:lang w:val="uk-UA"/>
              </w:rPr>
              <w:t xml:space="preserve"> </w:t>
            </w:r>
            <w:r w:rsidRPr="004229C1">
              <w:rPr>
                <w:rFonts w:ascii="Times New Roman" w:eastAsia="Calibri" w:hAnsi="Times New Roman" w:cs="Times New Roman"/>
                <w:sz w:val="20"/>
                <w:szCs w:val="20"/>
                <w:lang w:val="uk-UA"/>
              </w:rPr>
              <w:t>(КЕСУ)</w:t>
            </w:r>
          </w:p>
        </w:tc>
      </w:tr>
      <w:tr w:rsidR="00CA6D12" w:rsidRPr="004229C1" w14:paraId="16FB8F36" w14:textId="77777777" w:rsidTr="00FA3E07">
        <w:trPr>
          <w:trHeight w:val="57"/>
        </w:trPr>
        <w:tc>
          <w:tcPr>
            <w:tcW w:w="1271" w:type="dxa"/>
          </w:tcPr>
          <w:p w14:paraId="1FAF752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roofErr w:type="spellStart"/>
            <w:r w:rsidRPr="004229C1">
              <w:rPr>
                <w:rFonts w:ascii="Times New Roman" w:eastAsia="Calibri" w:hAnsi="Times New Roman" w:cs="Times New Roman"/>
                <w:bCs/>
                <w:sz w:val="20"/>
                <w:szCs w:val="20"/>
                <w:lang w:val="uk-UA"/>
              </w:rPr>
              <w:t>Джанлука</w:t>
            </w:r>
            <w:proofErr w:type="spellEnd"/>
            <w:r w:rsidRPr="004229C1">
              <w:rPr>
                <w:rFonts w:ascii="Times New Roman" w:eastAsia="Calibri" w:hAnsi="Times New Roman" w:cs="Times New Roman"/>
                <w:bCs/>
                <w:sz w:val="20"/>
                <w:szCs w:val="20"/>
                <w:lang w:val="uk-UA"/>
              </w:rPr>
              <w:t xml:space="preserve"> </w:t>
            </w:r>
            <w:proofErr w:type="spellStart"/>
            <w:r w:rsidRPr="004229C1">
              <w:rPr>
                <w:rFonts w:ascii="Times New Roman" w:eastAsia="Calibri" w:hAnsi="Times New Roman" w:cs="Times New Roman"/>
                <w:bCs/>
                <w:sz w:val="20"/>
                <w:szCs w:val="20"/>
                <w:lang w:val="uk-UA"/>
              </w:rPr>
              <w:t>Корріас</w:t>
            </w:r>
            <w:proofErr w:type="spellEnd"/>
            <w:r w:rsidRPr="004229C1">
              <w:rPr>
                <w:rFonts w:ascii="Times New Roman" w:eastAsia="Calibri" w:hAnsi="Times New Roman" w:cs="Times New Roman"/>
                <w:bCs/>
                <w:sz w:val="20"/>
                <w:szCs w:val="20"/>
                <w:lang w:val="uk-UA"/>
              </w:rPr>
              <w:t>,</w:t>
            </w:r>
            <w:r w:rsidRPr="004229C1">
              <w:rPr>
                <w:rFonts w:ascii="Times New Roman" w:eastAsia="Calibri" w:hAnsi="Times New Roman" w:cs="Times New Roman"/>
                <w:sz w:val="20"/>
                <w:szCs w:val="20"/>
                <w:lang w:val="uk-UA"/>
              </w:rPr>
              <w:t xml:space="preserve"> 01.01.2024-31.12.2024</w:t>
            </w:r>
          </w:p>
        </w:tc>
        <w:tc>
          <w:tcPr>
            <w:tcW w:w="851" w:type="dxa"/>
            <w:vAlign w:val="center"/>
          </w:tcPr>
          <w:p w14:paraId="292E54BA"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567" w:type="dxa"/>
            <w:vAlign w:val="center"/>
          </w:tcPr>
          <w:p w14:paraId="71752B3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850" w:type="dxa"/>
            <w:vAlign w:val="center"/>
          </w:tcPr>
          <w:p w14:paraId="3707363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992" w:type="dxa"/>
            <w:vAlign w:val="center"/>
          </w:tcPr>
          <w:p w14:paraId="2AB8C5F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1" w:type="dxa"/>
            <w:vAlign w:val="center"/>
          </w:tcPr>
          <w:p w14:paraId="0D8F354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880" w:type="dxa"/>
            <w:vAlign w:val="center"/>
          </w:tcPr>
          <w:p w14:paraId="49FAABA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tcPr>
          <w:p w14:paraId="3097B927"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1021" w:type="dxa"/>
            <w:vAlign w:val="center"/>
          </w:tcPr>
          <w:p w14:paraId="47A6C95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753" w:type="dxa"/>
            <w:vAlign w:val="center"/>
          </w:tcPr>
          <w:p w14:paraId="6486BC9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tcPr>
          <w:p w14:paraId="1FFE9AB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27" w:type="dxa"/>
            <w:vAlign w:val="center"/>
          </w:tcPr>
          <w:p w14:paraId="05833E5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r>
      <w:tr w:rsidR="00CA6D12" w:rsidRPr="004229C1" w14:paraId="6EE7F780" w14:textId="77777777" w:rsidTr="00FA3E07">
        <w:trPr>
          <w:trHeight w:val="57"/>
        </w:trPr>
        <w:tc>
          <w:tcPr>
            <w:tcW w:w="1271" w:type="dxa"/>
          </w:tcPr>
          <w:p w14:paraId="4BB1CAE8" w14:textId="77777777" w:rsidR="00CA6D12" w:rsidRPr="004229C1" w:rsidRDefault="00CA6D12" w:rsidP="002B4288">
            <w:pPr>
              <w:spacing w:after="0" w:line="240" w:lineRule="auto"/>
              <w:rPr>
                <w:rFonts w:ascii="Times New Roman" w:eastAsia="Calibri" w:hAnsi="Times New Roman" w:cs="Times New Roman"/>
                <w:bCs/>
                <w:sz w:val="20"/>
                <w:szCs w:val="20"/>
                <w:lang w:val="uk-UA"/>
              </w:rPr>
            </w:pPr>
            <w:proofErr w:type="spellStart"/>
            <w:r w:rsidRPr="004229C1">
              <w:rPr>
                <w:rFonts w:ascii="Times New Roman" w:eastAsia="Calibri" w:hAnsi="Times New Roman" w:cs="Times New Roman"/>
                <w:bCs/>
                <w:sz w:val="20"/>
                <w:szCs w:val="20"/>
                <w:lang w:val="uk-UA"/>
              </w:rPr>
              <w:t>Андреа</w:t>
            </w:r>
            <w:proofErr w:type="spellEnd"/>
            <w:r w:rsidRPr="004229C1">
              <w:rPr>
                <w:rFonts w:ascii="Times New Roman" w:eastAsia="Calibri" w:hAnsi="Times New Roman" w:cs="Times New Roman"/>
                <w:bCs/>
                <w:sz w:val="20"/>
                <w:szCs w:val="20"/>
                <w:lang w:val="uk-UA"/>
              </w:rPr>
              <w:t xml:space="preserve"> Де </w:t>
            </w:r>
            <w:proofErr w:type="spellStart"/>
            <w:r w:rsidRPr="004229C1">
              <w:rPr>
                <w:rFonts w:ascii="Times New Roman" w:eastAsia="Calibri" w:hAnsi="Times New Roman" w:cs="Times New Roman"/>
                <w:bCs/>
                <w:sz w:val="20"/>
                <w:szCs w:val="20"/>
                <w:lang w:val="uk-UA"/>
              </w:rPr>
              <w:t>Мікеліс</w:t>
            </w:r>
            <w:proofErr w:type="spellEnd"/>
          </w:p>
          <w:p w14:paraId="7EC1FA4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22.08.2024-31.12.2024</w:t>
            </w:r>
          </w:p>
        </w:tc>
        <w:tc>
          <w:tcPr>
            <w:tcW w:w="851" w:type="dxa"/>
            <w:vAlign w:val="center"/>
            <w:hideMark/>
          </w:tcPr>
          <w:p w14:paraId="72AB410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bCs/>
                <w:sz w:val="20"/>
                <w:szCs w:val="20"/>
                <w:lang w:val="uk-UA"/>
              </w:rPr>
              <w:t>Y</w:t>
            </w:r>
          </w:p>
        </w:tc>
        <w:tc>
          <w:tcPr>
            <w:tcW w:w="567" w:type="dxa"/>
            <w:vAlign w:val="center"/>
            <w:hideMark/>
          </w:tcPr>
          <w:p w14:paraId="2EEA44B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0" w:type="dxa"/>
            <w:vAlign w:val="center"/>
            <w:hideMark/>
          </w:tcPr>
          <w:p w14:paraId="6C5C047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92" w:type="dxa"/>
            <w:vAlign w:val="center"/>
            <w:hideMark/>
          </w:tcPr>
          <w:p w14:paraId="2124221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1" w:type="dxa"/>
            <w:vAlign w:val="center"/>
            <w:hideMark/>
          </w:tcPr>
          <w:p w14:paraId="023CDD0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80" w:type="dxa"/>
            <w:vAlign w:val="center"/>
            <w:hideMark/>
          </w:tcPr>
          <w:p w14:paraId="73F8BF2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28CABC1A"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1021" w:type="dxa"/>
            <w:vAlign w:val="center"/>
            <w:hideMark/>
          </w:tcPr>
          <w:p w14:paraId="049EF60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615065E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hideMark/>
          </w:tcPr>
          <w:p w14:paraId="6462D53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27" w:type="dxa"/>
            <w:vAlign w:val="center"/>
          </w:tcPr>
          <w:p w14:paraId="3E9B827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r>
      <w:tr w:rsidR="00CA6D12" w:rsidRPr="004229C1" w14:paraId="15C32E14" w14:textId="77777777" w:rsidTr="00FA3E07">
        <w:trPr>
          <w:trHeight w:val="57"/>
        </w:trPr>
        <w:tc>
          <w:tcPr>
            <w:tcW w:w="1271" w:type="dxa"/>
            <w:hideMark/>
          </w:tcPr>
          <w:p w14:paraId="540ECA2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bCs/>
                <w:sz w:val="20"/>
                <w:szCs w:val="20"/>
                <w:lang w:val="uk-UA"/>
              </w:rPr>
              <w:t xml:space="preserve">Семен </w:t>
            </w:r>
            <w:proofErr w:type="spellStart"/>
            <w:r w:rsidRPr="004229C1">
              <w:rPr>
                <w:rFonts w:ascii="Times New Roman" w:eastAsia="Calibri" w:hAnsi="Times New Roman" w:cs="Times New Roman"/>
                <w:bCs/>
                <w:sz w:val="20"/>
                <w:szCs w:val="20"/>
                <w:lang w:val="uk-UA"/>
              </w:rPr>
              <w:t>Бабаєв</w:t>
            </w:r>
            <w:proofErr w:type="spellEnd"/>
            <w:r w:rsidRPr="004229C1">
              <w:rPr>
                <w:rFonts w:ascii="Times New Roman" w:eastAsia="Calibri" w:hAnsi="Times New Roman" w:cs="Times New Roman"/>
                <w:sz w:val="20"/>
                <w:szCs w:val="20"/>
                <w:lang w:val="uk-UA"/>
              </w:rPr>
              <w:t>, 01.01.2024-31.12.2024</w:t>
            </w:r>
          </w:p>
        </w:tc>
        <w:tc>
          <w:tcPr>
            <w:tcW w:w="851" w:type="dxa"/>
            <w:vAlign w:val="center"/>
            <w:hideMark/>
          </w:tcPr>
          <w:p w14:paraId="566E46A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Y</w:t>
            </w:r>
          </w:p>
        </w:tc>
        <w:tc>
          <w:tcPr>
            <w:tcW w:w="567" w:type="dxa"/>
            <w:vAlign w:val="center"/>
            <w:hideMark/>
          </w:tcPr>
          <w:p w14:paraId="5F998AF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0" w:type="dxa"/>
            <w:vAlign w:val="center"/>
            <w:hideMark/>
          </w:tcPr>
          <w:p w14:paraId="20755A8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92" w:type="dxa"/>
            <w:vAlign w:val="center"/>
          </w:tcPr>
          <w:p w14:paraId="511EF8B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1" w:type="dxa"/>
            <w:vAlign w:val="center"/>
            <w:hideMark/>
          </w:tcPr>
          <w:p w14:paraId="2C3827C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80" w:type="dxa"/>
            <w:vAlign w:val="center"/>
          </w:tcPr>
          <w:p w14:paraId="015A9F9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753" w:type="dxa"/>
            <w:vAlign w:val="center"/>
            <w:hideMark/>
          </w:tcPr>
          <w:p w14:paraId="0CAA04D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1021" w:type="dxa"/>
            <w:vAlign w:val="center"/>
            <w:hideMark/>
          </w:tcPr>
          <w:p w14:paraId="71890F9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3227E484"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tcPr>
          <w:p w14:paraId="3F76774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27" w:type="dxa"/>
            <w:vAlign w:val="center"/>
            <w:hideMark/>
          </w:tcPr>
          <w:p w14:paraId="3ECB3BD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r>
      <w:tr w:rsidR="00CA6D12" w:rsidRPr="004229C1" w14:paraId="699D181C" w14:textId="77777777" w:rsidTr="00FA3E07">
        <w:trPr>
          <w:trHeight w:val="57"/>
        </w:trPr>
        <w:tc>
          <w:tcPr>
            <w:tcW w:w="1271" w:type="dxa"/>
            <w:hideMark/>
          </w:tcPr>
          <w:p w14:paraId="7BCB649E" w14:textId="77777777" w:rsidR="00CA6D12" w:rsidRPr="004229C1" w:rsidRDefault="00CA6D12" w:rsidP="002B4288">
            <w:pPr>
              <w:spacing w:after="0" w:line="240" w:lineRule="auto"/>
              <w:rPr>
                <w:rFonts w:ascii="Times New Roman" w:eastAsia="Calibri" w:hAnsi="Times New Roman" w:cs="Times New Roman"/>
                <w:bCs/>
                <w:sz w:val="20"/>
                <w:szCs w:val="20"/>
                <w:lang w:val="uk-UA"/>
              </w:rPr>
            </w:pPr>
            <w:r w:rsidRPr="004229C1">
              <w:rPr>
                <w:rFonts w:ascii="Times New Roman" w:eastAsia="Calibri" w:hAnsi="Times New Roman" w:cs="Times New Roman"/>
                <w:bCs/>
                <w:sz w:val="20"/>
                <w:szCs w:val="20"/>
                <w:lang w:val="uk-UA"/>
              </w:rPr>
              <w:t xml:space="preserve">Світлана </w:t>
            </w:r>
            <w:proofErr w:type="spellStart"/>
            <w:r w:rsidRPr="004229C1">
              <w:rPr>
                <w:rFonts w:ascii="Times New Roman" w:eastAsia="Calibri" w:hAnsi="Times New Roman" w:cs="Times New Roman"/>
                <w:bCs/>
                <w:sz w:val="20"/>
                <w:szCs w:val="20"/>
                <w:lang w:val="uk-UA"/>
              </w:rPr>
              <w:t>Крамарова</w:t>
            </w:r>
            <w:proofErr w:type="spellEnd"/>
            <w:r w:rsidRPr="004229C1">
              <w:rPr>
                <w:rFonts w:ascii="Times New Roman" w:eastAsia="Calibri" w:hAnsi="Times New Roman" w:cs="Times New Roman"/>
                <w:bCs/>
                <w:sz w:val="20"/>
                <w:szCs w:val="20"/>
                <w:lang w:val="uk-UA"/>
              </w:rPr>
              <w:t xml:space="preserve">, </w:t>
            </w:r>
          </w:p>
          <w:p w14:paraId="44DFF9CF"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01.01.2024-31.12.2024</w:t>
            </w:r>
          </w:p>
        </w:tc>
        <w:tc>
          <w:tcPr>
            <w:tcW w:w="851" w:type="dxa"/>
            <w:vAlign w:val="center"/>
          </w:tcPr>
          <w:p w14:paraId="5F7F5024"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567" w:type="dxa"/>
            <w:vAlign w:val="center"/>
          </w:tcPr>
          <w:p w14:paraId="32325C0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0" w:type="dxa"/>
            <w:vAlign w:val="center"/>
          </w:tcPr>
          <w:p w14:paraId="5101686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92" w:type="dxa"/>
            <w:vAlign w:val="center"/>
          </w:tcPr>
          <w:p w14:paraId="3E0F654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1" w:type="dxa"/>
            <w:vAlign w:val="center"/>
            <w:hideMark/>
          </w:tcPr>
          <w:p w14:paraId="6FAC31A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80" w:type="dxa"/>
            <w:vAlign w:val="center"/>
            <w:hideMark/>
          </w:tcPr>
          <w:p w14:paraId="3BFA832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1485555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1021" w:type="dxa"/>
            <w:vAlign w:val="center"/>
            <w:hideMark/>
          </w:tcPr>
          <w:p w14:paraId="5A27C7F7"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432F350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hideMark/>
          </w:tcPr>
          <w:p w14:paraId="0511653F"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c>
          <w:tcPr>
            <w:tcW w:w="927" w:type="dxa"/>
            <w:vAlign w:val="center"/>
            <w:hideMark/>
          </w:tcPr>
          <w:p w14:paraId="0765DB5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X</w:t>
            </w:r>
          </w:p>
        </w:tc>
      </w:tr>
      <w:tr w:rsidR="00CA6D12" w:rsidRPr="004229C1" w14:paraId="44E4847D" w14:textId="77777777" w:rsidTr="00FA3E07">
        <w:trPr>
          <w:trHeight w:val="57"/>
        </w:trPr>
        <w:tc>
          <w:tcPr>
            <w:tcW w:w="1271" w:type="dxa"/>
            <w:hideMark/>
          </w:tcPr>
          <w:p w14:paraId="4AB2D32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bCs/>
                <w:sz w:val="20"/>
                <w:szCs w:val="20"/>
                <w:lang w:val="uk-UA"/>
              </w:rPr>
              <w:t xml:space="preserve">Олена </w:t>
            </w:r>
            <w:proofErr w:type="spellStart"/>
            <w:r w:rsidRPr="004229C1">
              <w:rPr>
                <w:rFonts w:ascii="Times New Roman" w:eastAsia="Calibri" w:hAnsi="Times New Roman" w:cs="Times New Roman"/>
                <w:bCs/>
                <w:sz w:val="20"/>
                <w:szCs w:val="20"/>
                <w:lang w:val="uk-UA"/>
              </w:rPr>
              <w:t>Походзяєва</w:t>
            </w:r>
            <w:proofErr w:type="spellEnd"/>
            <w:r w:rsidRPr="004229C1">
              <w:rPr>
                <w:rFonts w:ascii="Times New Roman" w:eastAsia="Calibri" w:hAnsi="Times New Roman" w:cs="Times New Roman"/>
                <w:bCs/>
                <w:sz w:val="20"/>
                <w:szCs w:val="20"/>
                <w:lang w:val="uk-UA"/>
              </w:rPr>
              <w:t>,</w:t>
            </w:r>
            <w:r w:rsidRPr="004229C1">
              <w:rPr>
                <w:rFonts w:ascii="Times New Roman" w:eastAsia="Calibri" w:hAnsi="Times New Roman" w:cs="Times New Roman"/>
                <w:sz w:val="20"/>
                <w:szCs w:val="20"/>
                <w:lang w:val="uk-UA"/>
              </w:rPr>
              <w:t xml:space="preserve"> 01.01.2024-16.02.2024</w:t>
            </w:r>
          </w:p>
        </w:tc>
        <w:tc>
          <w:tcPr>
            <w:tcW w:w="851" w:type="dxa"/>
            <w:vAlign w:val="center"/>
          </w:tcPr>
          <w:p w14:paraId="495B1EA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567" w:type="dxa"/>
            <w:vAlign w:val="center"/>
          </w:tcPr>
          <w:p w14:paraId="47B3382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0" w:type="dxa"/>
            <w:vAlign w:val="center"/>
            <w:hideMark/>
          </w:tcPr>
          <w:p w14:paraId="417DB09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r w:rsidRPr="004229C1">
              <w:rPr>
                <w:rFonts w:ascii="Times New Roman" w:eastAsia="Calibri" w:hAnsi="Times New Roman" w:cs="Times New Roman"/>
                <w:sz w:val="20"/>
                <w:szCs w:val="20"/>
                <w:vertAlign w:val="superscript"/>
                <w:lang w:val="uk-UA"/>
              </w:rPr>
              <w:t>1</w:t>
            </w:r>
          </w:p>
        </w:tc>
        <w:tc>
          <w:tcPr>
            <w:tcW w:w="992" w:type="dxa"/>
            <w:vAlign w:val="center"/>
          </w:tcPr>
          <w:p w14:paraId="0DED7AB0"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1" w:type="dxa"/>
            <w:vAlign w:val="center"/>
            <w:hideMark/>
          </w:tcPr>
          <w:p w14:paraId="6A886AE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r w:rsidRPr="004229C1">
              <w:rPr>
                <w:rFonts w:ascii="Times New Roman" w:eastAsia="Calibri" w:hAnsi="Times New Roman" w:cs="Times New Roman"/>
                <w:sz w:val="20"/>
                <w:szCs w:val="20"/>
                <w:vertAlign w:val="superscript"/>
                <w:lang w:val="uk-UA"/>
              </w:rPr>
              <w:t>1</w:t>
            </w:r>
          </w:p>
        </w:tc>
        <w:tc>
          <w:tcPr>
            <w:tcW w:w="880" w:type="dxa"/>
            <w:vAlign w:val="center"/>
            <w:hideMark/>
          </w:tcPr>
          <w:p w14:paraId="0E793BB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tcPr>
          <w:p w14:paraId="5BF5A11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1021" w:type="dxa"/>
            <w:vAlign w:val="center"/>
            <w:hideMark/>
          </w:tcPr>
          <w:p w14:paraId="7932E57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309A2A2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tcPr>
          <w:p w14:paraId="2550C44F"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27" w:type="dxa"/>
            <w:vAlign w:val="center"/>
            <w:hideMark/>
          </w:tcPr>
          <w:p w14:paraId="2687DAE0"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r>
      <w:tr w:rsidR="00CA6D12" w:rsidRPr="004229C1" w14:paraId="761A43FB" w14:textId="77777777" w:rsidTr="00FA3E07">
        <w:trPr>
          <w:trHeight w:val="57"/>
        </w:trPr>
        <w:tc>
          <w:tcPr>
            <w:tcW w:w="1271" w:type="dxa"/>
            <w:hideMark/>
          </w:tcPr>
          <w:p w14:paraId="0DBB835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bCs/>
                <w:sz w:val="20"/>
                <w:szCs w:val="20"/>
                <w:lang w:val="uk-UA"/>
              </w:rPr>
              <w:t>Руслан Лещенко</w:t>
            </w:r>
            <w:r w:rsidRPr="004229C1">
              <w:rPr>
                <w:rFonts w:ascii="Times New Roman" w:eastAsia="Calibri" w:hAnsi="Times New Roman" w:cs="Times New Roman"/>
                <w:sz w:val="20"/>
                <w:szCs w:val="20"/>
                <w:lang w:val="uk-UA"/>
              </w:rPr>
              <w:t xml:space="preserve">, </w:t>
            </w:r>
          </w:p>
          <w:p w14:paraId="6DAA182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01.01.2024-31.12.2024</w:t>
            </w:r>
          </w:p>
        </w:tc>
        <w:tc>
          <w:tcPr>
            <w:tcW w:w="851" w:type="dxa"/>
            <w:vAlign w:val="center"/>
          </w:tcPr>
          <w:p w14:paraId="316CE2C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567" w:type="dxa"/>
            <w:vAlign w:val="center"/>
            <w:hideMark/>
          </w:tcPr>
          <w:p w14:paraId="394429F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0" w:type="dxa"/>
            <w:vAlign w:val="center"/>
            <w:hideMark/>
          </w:tcPr>
          <w:p w14:paraId="070B658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92" w:type="dxa"/>
            <w:vAlign w:val="center"/>
            <w:hideMark/>
          </w:tcPr>
          <w:p w14:paraId="5B43336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51" w:type="dxa"/>
            <w:vAlign w:val="center"/>
            <w:hideMark/>
          </w:tcPr>
          <w:p w14:paraId="3C18C3B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880" w:type="dxa"/>
            <w:vAlign w:val="center"/>
          </w:tcPr>
          <w:p w14:paraId="1D18817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753" w:type="dxa"/>
            <w:vAlign w:val="center"/>
            <w:hideMark/>
          </w:tcPr>
          <w:p w14:paraId="502BB17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1021" w:type="dxa"/>
            <w:vAlign w:val="center"/>
            <w:hideMark/>
          </w:tcPr>
          <w:p w14:paraId="3743BFA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3D1D387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tcPr>
          <w:p w14:paraId="250B5D2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27" w:type="dxa"/>
            <w:vAlign w:val="center"/>
            <w:hideMark/>
          </w:tcPr>
          <w:p w14:paraId="4000B486"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r>
      <w:tr w:rsidR="00CA6D12" w:rsidRPr="004229C1" w14:paraId="786ED872" w14:textId="77777777" w:rsidTr="00FA3E07">
        <w:trPr>
          <w:trHeight w:val="57"/>
        </w:trPr>
        <w:tc>
          <w:tcPr>
            <w:tcW w:w="1271" w:type="dxa"/>
            <w:hideMark/>
          </w:tcPr>
          <w:p w14:paraId="68AEE313" w14:textId="77777777" w:rsidR="00CA6D12" w:rsidRPr="004229C1" w:rsidRDefault="00CA6D12" w:rsidP="002B4288">
            <w:pPr>
              <w:spacing w:after="0" w:line="240" w:lineRule="auto"/>
              <w:rPr>
                <w:rFonts w:ascii="Times New Roman" w:eastAsia="Calibri" w:hAnsi="Times New Roman" w:cs="Times New Roman"/>
                <w:bCs/>
                <w:sz w:val="20"/>
                <w:szCs w:val="20"/>
                <w:lang w:val="uk-UA"/>
              </w:rPr>
            </w:pPr>
            <w:r w:rsidRPr="004229C1">
              <w:rPr>
                <w:rFonts w:ascii="Times New Roman" w:eastAsia="Calibri" w:hAnsi="Times New Roman" w:cs="Times New Roman"/>
                <w:bCs/>
                <w:sz w:val="20"/>
                <w:szCs w:val="20"/>
                <w:lang w:val="uk-UA"/>
              </w:rPr>
              <w:t>Олег Єфремов</w:t>
            </w:r>
          </w:p>
          <w:p w14:paraId="184A4984"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19.02.2024-</w:t>
            </w:r>
          </w:p>
          <w:p w14:paraId="74F2F8D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31.12.2024</w:t>
            </w:r>
          </w:p>
        </w:tc>
        <w:tc>
          <w:tcPr>
            <w:tcW w:w="851" w:type="dxa"/>
            <w:vAlign w:val="center"/>
          </w:tcPr>
          <w:p w14:paraId="2841FAB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567" w:type="dxa"/>
            <w:vAlign w:val="center"/>
          </w:tcPr>
          <w:p w14:paraId="063B525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0" w:type="dxa"/>
            <w:vAlign w:val="center"/>
          </w:tcPr>
          <w:p w14:paraId="2CD36924"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r w:rsidRPr="004229C1">
              <w:rPr>
                <w:rFonts w:ascii="Times New Roman" w:eastAsia="Calibri" w:hAnsi="Times New Roman" w:cs="Times New Roman"/>
                <w:sz w:val="20"/>
                <w:szCs w:val="20"/>
                <w:vertAlign w:val="superscript"/>
                <w:lang w:val="uk-UA"/>
              </w:rPr>
              <w:t>1</w:t>
            </w:r>
          </w:p>
        </w:tc>
        <w:tc>
          <w:tcPr>
            <w:tcW w:w="992" w:type="dxa"/>
            <w:vAlign w:val="center"/>
          </w:tcPr>
          <w:p w14:paraId="45755C20"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1" w:type="dxa"/>
            <w:vAlign w:val="center"/>
          </w:tcPr>
          <w:p w14:paraId="425C0D7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r w:rsidRPr="004229C1">
              <w:rPr>
                <w:rFonts w:ascii="Times New Roman" w:eastAsia="Calibri" w:hAnsi="Times New Roman" w:cs="Times New Roman"/>
                <w:sz w:val="20"/>
                <w:szCs w:val="20"/>
                <w:vertAlign w:val="superscript"/>
                <w:lang w:val="uk-UA"/>
              </w:rPr>
              <w:t>1</w:t>
            </w:r>
          </w:p>
        </w:tc>
        <w:tc>
          <w:tcPr>
            <w:tcW w:w="880" w:type="dxa"/>
            <w:vAlign w:val="center"/>
            <w:hideMark/>
          </w:tcPr>
          <w:p w14:paraId="607E7AC1"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6F38321A"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1021" w:type="dxa"/>
            <w:vAlign w:val="center"/>
            <w:hideMark/>
          </w:tcPr>
          <w:p w14:paraId="59E6F02D"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hideMark/>
          </w:tcPr>
          <w:p w14:paraId="0B98DB5F"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hideMark/>
          </w:tcPr>
          <w:p w14:paraId="02248A0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27" w:type="dxa"/>
            <w:vAlign w:val="center"/>
          </w:tcPr>
          <w:p w14:paraId="4ECF0E92"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r>
      <w:tr w:rsidR="00CA6D12" w:rsidRPr="004229C1" w14:paraId="708F45CF" w14:textId="77777777" w:rsidTr="00FA3E07">
        <w:trPr>
          <w:trHeight w:val="57"/>
        </w:trPr>
        <w:tc>
          <w:tcPr>
            <w:tcW w:w="1271" w:type="dxa"/>
          </w:tcPr>
          <w:p w14:paraId="4F72835A" w14:textId="77777777" w:rsidR="00CA6D12" w:rsidRPr="004229C1" w:rsidRDefault="00CA6D12" w:rsidP="002B4288">
            <w:pPr>
              <w:spacing w:after="0" w:line="240" w:lineRule="auto"/>
              <w:rPr>
                <w:rFonts w:ascii="Times New Roman" w:eastAsia="Calibri" w:hAnsi="Times New Roman" w:cs="Times New Roman"/>
                <w:bCs/>
                <w:sz w:val="20"/>
                <w:szCs w:val="20"/>
                <w:lang w:val="uk-UA"/>
              </w:rPr>
            </w:pPr>
            <w:r w:rsidRPr="004229C1">
              <w:rPr>
                <w:rFonts w:ascii="Times New Roman" w:eastAsia="Calibri" w:hAnsi="Times New Roman" w:cs="Times New Roman"/>
                <w:bCs/>
                <w:sz w:val="20"/>
                <w:szCs w:val="20"/>
                <w:lang w:val="uk-UA"/>
              </w:rPr>
              <w:t xml:space="preserve">Лілія </w:t>
            </w:r>
            <w:proofErr w:type="spellStart"/>
            <w:r w:rsidRPr="004229C1">
              <w:rPr>
                <w:rFonts w:ascii="Times New Roman" w:eastAsia="Calibri" w:hAnsi="Times New Roman" w:cs="Times New Roman"/>
                <w:bCs/>
                <w:sz w:val="20"/>
                <w:szCs w:val="20"/>
                <w:lang w:val="uk-UA"/>
              </w:rPr>
              <w:t>Остахова</w:t>
            </w:r>
            <w:proofErr w:type="spellEnd"/>
          </w:p>
          <w:p w14:paraId="7725E9EF"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04.03.2024-</w:t>
            </w:r>
          </w:p>
          <w:p w14:paraId="048C78A7"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31.12.2024</w:t>
            </w:r>
          </w:p>
        </w:tc>
        <w:tc>
          <w:tcPr>
            <w:tcW w:w="851" w:type="dxa"/>
            <w:vAlign w:val="center"/>
          </w:tcPr>
          <w:p w14:paraId="1BFD57D7"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567" w:type="dxa"/>
            <w:vAlign w:val="center"/>
          </w:tcPr>
          <w:p w14:paraId="611F9D4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0" w:type="dxa"/>
            <w:vAlign w:val="center"/>
          </w:tcPr>
          <w:p w14:paraId="14E1CC9E"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992" w:type="dxa"/>
            <w:vAlign w:val="center"/>
          </w:tcPr>
          <w:p w14:paraId="35738DBC"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51" w:type="dxa"/>
            <w:vAlign w:val="center"/>
          </w:tcPr>
          <w:p w14:paraId="2D1131F3"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c>
          <w:tcPr>
            <w:tcW w:w="880" w:type="dxa"/>
            <w:vAlign w:val="center"/>
          </w:tcPr>
          <w:p w14:paraId="07B60A27"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tcPr>
          <w:p w14:paraId="6DB02998"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1021" w:type="dxa"/>
            <w:vAlign w:val="center"/>
          </w:tcPr>
          <w:p w14:paraId="1A38AB99"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53" w:type="dxa"/>
            <w:vAlign w:val="center"/>
          </w:tcPr>
          <w:p w14:paraId="0B1BDE55"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740" w:type="dxa"/>
            <w:vAlign w:val="center"/>
          </w:tcPr>
          <w:p w14:paraId="472D1CE0" w14:textId="77777777" w:rsidR="00CA6D12" w:rsidRPr="004229C1" w:rsidRDefault="00CA6D12" w:rsidP="002B4288">
            <w:pPr>
              <w:spacing w:after="0" w:line="240" w:lineRule="auto"/>
              <w:rPr>
                <w:rFonts w:ascii="Times New Roman" w:eastAsia="Calibri" w:hAnsi="Times New Roman" w:cs="Times New Roman"/>
                <w:b/>
                <w:sz w:val="20"/>
                <w:szCs w:val="20"/>
                <w:lang w:val="uk-UA"/>
              </w:rPr>
            </w:pPr>
            <w:r w:rsidRPr="004229C1">
              <w:rPr>
                <w:rFonts w:ascii="Times New Roman" w:eastAsia="Calibri" w:hAnsi="Times New Roman" w:cs="Times New Roman"/>
                <w:sz w:val="20"/>
                <w:szCs w:val="20"/>
                <w:lang w:val="uk-UA"/>
              </w:rPr>
              <w:t>V</w:t>
            </w:r>
          </w:p>
        </w:tc>
        <w:tc>
          <w:tcPr>
            <w:tcW w:w="927" w:type="dxa"/>
            <w:vAlign w:val="center"/>
          </w:tcPr>
          <w:p w14:paraId="28B9877B" w14:textId="77777777" w:rsidR="00CA6D12" w:rsidRPr="004229C1" w:rsidRDefault="00CA6D12" w:rsidP="002B4288">
            <w:pPr>
              <w:spacing w:after="0" w:line="240" w:lineRule="auto"/>
              <w:rPr>
                <w:rFonts w:ascii="Times New Roman" w:eastAsia="Calibri" w:hAnsi="Times New Roman" w:cs="Times New Roman"/>
                <w:b/>
                <w:sz w:val="20"/>
                <w:szCs w:val="20"/>
                <w:lang w:val="uk-UA"/>
              </w:rPr>
            </w:pPr>
          </w:p>
        </w:tc>
      </w:tr>
    </w:tbl>
    <w:p w14:paraId="75C7BCEB" w14:textId="77777777" w:rsidR="00CA6D12" w:rsidRPr="004229C1" w:rsidRDefault="00CA6D12">
      <w:pPr>
        <w:widowControl w:val="0"/>
        <w:autoSpaceDE w:val="0"/>
        <w:autoSpaceDN w:val="0"/>
        <w:adjustRightInd w:val="0"/>
        <w:spacing w:after="0" w:line="240" w:lineRule="auto"/>
        <w:jc w:val="center"/>
        <w:rPr>
          <w:rFonts w:ascii="Times New Roman" w:hAnsi="Times New Roman" w:cs="Times New Roman"/>
          <w:kern w:val="0"/>
          <w:lang w:val="uk-UA"/>
        </w:rPr>
      </w:pPr>
    </w:p>
    <w:p w14:paraId="25C74F84"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6A42314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lang w:val="uk-UA"/>
        </w:rPr>
      </w:pPr>
      <w:r w:rsidRPr="004229C1">
        <w:rPr>
          <w:rFonts w:ascii="Times New Roman" w:hAnsi="Times New Roman" w:cs="Times New Roman"/>
          <w:b/>
          <w:bCs/>
          <w:kern w:val="0"/>
          <w:lang w:val="uk-UA"/>
        </w:rPr>
        <w:t>Інформація про проведені засідання колегіального виконавчого органу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8000"/>
      </w:tblGrid>
      <w:tr w:rsidR="007469BF" w:rsidRPr="004229C1" w14:paraId="07BBFB75" w14:textId="77777777">
        <w:trPr>
          <w:trHeight w:val="200"/>
        </w:trPr>
        <w:tc>
          <w:tcPr>
            <w:tcW w:w="2000" w:type="dxa"/>
            <w:tcBorders>
              <w:top w:val="single" w:sz="6" w:space="0" w:color="auto"/>
              <w:bottom w:val="single" w:sz="6" w:space="0" w:color="auto"/>
              <w:right w:val="single" w:sz="6" w:space="0" w:color="auto"/>
            </w:tcBorders>
          </w:tcPr>
          <w:p w14:paraId="08693EB9"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8000" w:type="dxa"/>
            <w:tcBorders>
              <w:top w:val="single" w:sz="6" w:space="0" w:color="auto"/>
              <w:left w:val="single" w:sz="6" w:space="0" w:color="auto"/>
              <w:bottom w:val="single" w:sz="6" w:space="0" w:color="auto"/>
            </w:tcBorders>
          </w:tcPr>
          <w:p w14:paraId="4897EF1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r>
      <w:tr w:rsidR="00CA6D12" w:rsidRPr="004229C1" w14:paraId="5E3D76DB" w14:textId="77777777" w:rsidTr="00A639A5">
        <w:trPr>
          <w:trHeight w:val="200"/>
        </w:trPr>
        <w:tc>
          <w:tcPr>
            <w:tcW w:w="2000" w:type="dxa"/>
            <w:tcBorders>
              <w:top w:val="single" w:sz="6" w:space="0" w:color="auto"/>
              <w:bottom w:val="single" w:sz="6" w:space="0" w:color="auto"/>
              <w:right w:val="single" w:sz="6" w:space="0" w:color="auto"/>
            </w:tcBorders>
            <w:vAlign w:val="center"/>
          </w:tcPr>
          <w:p w14:paraId="51AA7086" w14:textId="64870D17"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Кількість</w:t>
            </w:r>
            <w:r w:rsidRPr="004229C1">
              <w:rPr>
                <w:rFonts w:ascii="Times New Roman" w:eastAsia="Times New Roman" w:hAnsi="Times New Roman" w:cs="Times New Roman"/>
                <w:bCs/>
                <w:spacing w:val="19"/>
                <w:sz w:val="22"/>
                <w:szCs w:val="22"/>
                <w:lang w:val="uk-UA"/>
              </w:rPr>
              <w:t xml:space="preserve"> </w:t>
            </w:r>
            <w:r w:rsidRPr="004229C1">
              <w:rPr>
                <w:rFonts w:ascii="Times New Roman" w:eastAsia="Times New Roman" w:hAnsi="Times New Roman" w:cs="Times New Roman"/>
                <w:bCs/>
                <w:sz w:val="22"/>
                <w:szCs w:val="22"/>
                <w:lang w:val="uk-UA"/>
              </w:rPr>
              <w:t>засідань</w:t>
            </w:r>
            <w:r w:rsidRPr="004229C1">
              <w:rPr>
                <w:rFonts w:ascii="Times New Roman" w:eastAsia="Times New Roman" w:hAnsi="Times New Roman" w:cs="Times New Roman"/>
                <w:bCs/>
                <w:spacing w:val="20"/>
                <w:sz w:val="22"/>
                <w:szCs w:val="22"/>
                <w:lang w:val="uk-UA"/>
              </w:rPr>
              <w:t xml:space="preserve"> </w:t>
            </w:r>
            <w:r w:rsidRPr="004229C1">
              <w:rPr>
                <w:rFonts w:ascii="Times New Roman" w:eastAsia="Times New Roman" w:hAnsi="Times New Roman" w:cs="Times New Roman"/>
                <w:bCs/>
                <w:sz w:val="22"/>
                <w:szCs w:val="22"/>
                <w:lang w:val="uk-UA"/>
              </w:rPr>
              <w:t>колегіального виконавчого органу</w:t>
            </w:r>
            <w:r w:rsidRPr="004229C1">
              <w:rPr>
                <w:rFonts w:ascii="Times New Roman" w:eastAsia="Times New Roman" w:hAnsi="Times New Roman" w:cs="Times New Roman"/>
                <w:bCs/>
                <w:spacing w:val="21"/>
                <w:sz w:val="22"/>
                <w:szCs w:val="22"/>
                <w:lang w:val="uk-UA"/>
              </w:rPr>
              <w:t xml:space="preserve"> </w:t>
            </w:r>
            <w:r w:rsidRPr="004229C1">
              <w:rPr>
                <w:rFonts w:ascii="Times New Roman" w:eastAsia="Times New Roman" w:hAnsi="Times New Roman" w:cs="Times New Roman"/>
                <w:bCs/>
                <w:sz w:val="22"/>
                <w:szCs w:val="22"/>
                <w:lang w:val="uk-UA"/>
              </w:rPr>
              <w:t>у</w:t>
            </w:r>
            <w:r w:rsidRPr="004229C1">
              <w:rPr>
                <w:rFonts w:ascii="Times New Roman" w:eastAsia="Times New Roman" w:hAnsi="Times New Roman" w:cs="Times New Roman"/>
                <w:bCs/>
                <w:spacing w:val="15"/>
                <w:sz w:val="22"/>
                <w:szCs w:val="22"/>
                <w:lang w:val="uk-UA"/>
              </w:rPr>
              <w:t xml:space="preserve"> </w:t>
            </w:r>
            <w:r w:rsidRPr="004229C1">
              <w:rPr>
                <w:rFonts w:ascii="Times New Roman" w:eastAsia="Times New Roman" w:hAnsi="Times New Roman" w:cs="Times New Roman"/>
                <w:bCs/>
                <w:sz w:val="22"/>
                <w:szCs w:val="22"/>
                <w:lang w:val="uk-UA"/>
              </w:rPr>
              <w:t>звітному періоді</w:t>
            </w:r>
          </w:p>
        </w:tc>
        <w:tc>
          <w:tcPr>
            <w:tcW w:w="8000" w:type="dxa"/>
            <w:tcBorders>
              <w:top w:val="single" w:sz="6" w:space="0" w:color="auto"/>
              <w:left w:val="single" w:sz="6" w:space="0" w:color="auto"/>
              <w:bottom w:val="single" w:sz="6" w:space="0" w:color="auto"/>
            </w:tcBorders>
            <w:vAlign w:val="center"/>
          </w:tcPr>
          <w:p w14:paraId="12ABA74A" w14:textId="35F1E6E6"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38</w:t>
            </w:r>
          </w:p>
        </w:tc>
      </w:tr>
      <w:tr w:rsidR="00CA6D12" w:rsidRPr="004229C1" w14:paraId="7DDAAA86" w14:textId="77777777" w:rsidTr="00A639A5">
        <w:trPr>
          <w:trHeight w:val="200"/>
        </w:trPr>
        <w:tc>
          <w:tcPr>
            <w:tcW w:w="2000" w:type="dxa"/>
            <w:tcBorders>
              <w:top w:val="single" w:sz="6" w:space="0" w:color="auto"/>
              <w:bottom w:val="single" w:sz="6" w:space="0" w:color="auto"/>
              <w:right w:val="single" w:sz="6" w:space="0" w:color="auto"/>
            </w:tcBorders>
          </w:tcPr>
          <w:p w14:paraId="77059981" w14:textId="0C44C06B"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З</w:t>
            </w:r>
            <w:r w:rsidRPr="004229C1">
              <w:rPr>
                <w:rFonts w:ascii="Times New Roman" w:eastAsia="Times New Roman" w:hAnsi="Times New Roman" w:cs="Times New Roman"/>
                <w:bCs/>
                <w:spacing w:val="-2"/>
                <w:sz w:val="22"/>
                <w:szCs w:val="22"/>
                <w:lang w:val="uk-UA"/>
              </w:rPr>
              <w:t xml:space="preserve"> </w:t>
            </w:r>
            <w:r w:rsidRPr="004229C1">
              <w:rPr>
                <w:rFonts w:ascii="Times New Roman" w:eastAsia="Times New Roman" w:hAnsi="Times New Roman" w:cs="Times New Roman"/>
                <w:bCs/>
                <w:sz w:val="22"/>
                <w:szCs w:val="22"/>
                <w:lang w:val="uk-UA"/>
              </w:rPr>
              <w:t>них</w:t>
            </w:r>
            <w:r w:rsidRPr="004229C1">
              <w:rPr>
                <w:rFonts w:ascii="Times New Roman" w:eastAsia="Times New Roman" w:hAnsi="Times New Roman" w:cs="Times New Roman"/>
                <w:bCs/>
                <w:spacing w:val="-3"/>
                <w:sz w:val="22"/>
                <w:szCs w:val="22"/>
                <w:lang w:val="uk-UA"/>
              </w:rPr>
              <w:t xml:space="preserve"> </w:t>
            </w:r>
            <w:r w:rsidRPr="004229C1">
              <w:rPr>
                <w:rFonts w:ascii="Times New Roman" w:eastAsia="Times New Roman" w:hAnsi="Times New Roman" w:cs="Times New Roman"/>
                <w:bCs/>
                <w:sz w:val="22"/>
                <w:szCs w:val="22"/>
                <w:lang w:val="uk-UA"/>
              </w:rPr>
              <w:t>очних:</w:t>
            </w:r>
          </w:p>
        </w:tc>
        <w:tc>
          <w:tcPr>
            <w:tcW w:w="8000" w:type="dxa"/>
            <w:tcBorders>
              <w:top w:val="single" w:sz="6" w:space="0" w:color="auto"/>
              <w:left w:val="single" w:sz="6" w:space="0" w:color="auto"/>
              <w:bottom w:val="single" w:sz="6" w:space="0" w:color="auto"/>
            </w:tcBorders>
            <w:vAlign w:val="center"/>
          </w:tcPr>
          <w:p w14:paraId="2CDEE3EC" w14:textId="5F189261"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29</w:t>
            </w:r>
          </w:p>
        </w:tc>
      </w:tr>
      <w:tr w:rsidR="00CA6D12" w:rsidRPr="004229C1" w14:paraId="38E59186" w14:textId="77777777" w:rsidTr="00A639A5">
        <w:trPr>
          <w:trHeight w:val="200"/>
        </w:trPr>
        <w:tc>
          <w:tcPr>
            <w:tcW w:w="2000" w:type="dxa"/>
            <w:tcBorders>
              <w:top w:val="single" w:sz="6" w:space="0" w:color="auto"/>
              <w:bottom w:val="single" w:sz="6" w:space="0" w:color="auto"/>
              <w:right w:val="single" w:sz="6" w:space="0" w:color="auto"/>
            </w:tcBorders>
          </w:tcPr>
          <w:p w14:paraId="48CCD60F" w14:textId="411FA60F"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З</w:t>
            </w:r>
            <w:r w:rsidRPr="004229C1">
              <w:rPr>
                <w:rFonts w:ascii="Times New Roman" w:eastAsia="Times New Roman" w:hAnsi="Times New Roman" w:cs="Times New Roman"/>
                <w:bCs/>
                <w:spacing w:val="-2"/>
                <w:sz w:val="22"/>
                <w:szCs w:val="22"/>
                <w:lang w:val="uk-UA"/>
              </w:rPr>
              <w:t xml:space="preserve"> </w:t>
            </w:r>
            <w:r w:rsidRPr="004229C1">
              <w:rPr>
                <w:rFonts w:ascii="Times New Roman" w:eastAsia="Times New Roman" w:hAnsi="Times New Roman" w:cs="Times New Roman"/>
                <w:bCs/>
                <w:sz w:val="22"/>
                <w:szCs w:val="22"/>
                <w:lang w:val="uk-UA"/>
              </w:rPr>
              <w:t>них</w:t>
            </w:r>
            <w:r w:rsidRPr="004229C1">
              <w:rPr>
                <w:rFonts w:ascii="Times New Roman" w:eastAsia="Times New Roman" w:hAnsi="Times New Roman" w:cs="Times New Roman"/>
                <w:bCs/>
                <w:spacing w:val="-3"/>
                <w:sz w:val="22"/>
                <w:szCs w:val="22"/>
                <w:lang w:val="uk-UA"/>
              </w:rPr>
              <w:t xml:space="preserve"> </w:t>
            </w:r>
            <w:r w:rsidRPr="004229C1">
              <w:rPr>
                <w:rFonts w:ascii="Times New Roman" w:eastAsia="Times New Roman" w:hAnsi="Times New Roman" w:cs="Times New Roman"/>
                <w:bCs/>
                <w:sz w:val="22"/>
                <w:szCs w:val="22"/>
                <w:lang w:val="uk-UA"/>
              </w:rPr>
              <w:t>заочних:</w:t>
            </w:r>
          </w:p>
        </w:tc>
        <w:tc>
          <w:tcPr>
            <w:tcW w:w="8000" w:type="dxa"/>
            <w:tcBorders>
              <w:top w:val="single" w:sz="6" w:space="0" w:color="auto"/>
              <w:left w:val="single" w:sz="6" w:space="0" w:color="auto"/>
              <w:bottom w:val="single" w:sz="6" w:space="0" w:color="auto"/>
            </w:tcBorders>
            <w:vAlign w:val="center"/>
          </w:tcPr>
          <w:p w14:paraId="753CCF31" w14:textId="05586314"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9</w:t>
            </w:r>
          </w:p>
        </w:tc>
      </w:tr>
      <w:tr w:rsidR="00CA6D12" w:rsidRPr="004229C1" w14:paraId="6090D00A" w14:textId="77777777">
        <w:trPr>
          <w:trHeight w:val="200"/>
        </w:trPr>
        <w:tc>
          <w:tcPr>
            <w:tcW w:w="2000" w:type="dxa"/>
            <w:tcBorders>
              <w:top w:val="single" w:sz="6" w:space="0" w:color="auto"/>
              <w:bottom w:val="single" w:sz="6" w:space="0" w:color="auto"/>
              <w:right w:val="single" w:sz="6" w:space="0" w:color="auto"/>
            </w:tcBorders>
          </w:tcPr>
          <w:p w14:paraId="5A0C8BEF" w14:textId="14193775" w:rsidR="00CA6D12" w:rsidRPr="004229C1" w:rsidRDefault="00CA6D12" w:rsidP="00CA6D12">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Опис ключових</w:t>
            </w:r>
            <w:r w:rsidRPr="004229C1">
              <w:rPr>
                <w:rFonts w:ascii="Times New Roman" w:eastAsia="Times New Roman" w:hAnsi="Times New Roman" w:cs="Times New Roman"/>
                <w:bCs/>
                <w:spacing w:val="-3"/>
                <w:sz w:val="22"/>
                <w:szCs w:val="22"/>
                <w:lang w:val="uk-UA"/>
              </w:rPr>
              <w:t xml:space="preserve"> </w:t>
            </w:r>
            <w:r w:rsidRPr="004229C1">
              <w:rPr>
                <w:rFonts w:ascii="Times New Roman" w:eastAsia="Times New Roman" w:hAnsi="Times New Roman" w:cs="Times New Roman"/>
                <w:bCs/>
                <w:sz w:val="22"/>
                <w:szCs w:val="22"/>
                <w:lang w:val="uk-UA"/>
              </w:rPr>
              <w:t>рішень</w:t>
            </w:r>
            <w:r w:rsidRPr="004229C1">
              <w:rPr>
                <w:rFonts w:ascii="Times New Roman" w:eastAsia="Times New Roman" w:hAnsi="Times New Roman" w:cs="Times New Roman"/>
                <w:bCs/>
                <w:spacing w:val="-3"/>
                <w:sz w:val="22"/>
                <w:szCs w:val="22"/>
                <w:lang w:val="uk-UA"/>
              </w:rPr>
              <w:t xml:space="preserve"> </w:t>
            </w:r>
            <w:r w:rsidRPr="004229C1">
              <w:rPr>
                <w:rFonts w:ascii="Times New Roman" w:eastAsia="Times New Roman" w:hAnsi="Times New Roman" w:cs="Times New Roman"/>
                <w:bCs/>
                <w:sz w:val="22"/>
                <w:szCs w:val="22"/>
                <w:lang w:val="uk-UA"/>
              </w:rPr>
              <w:t>колегіального виконавчого органу:</w:t>
            </w:r>
          </w:p>
        </w:tc>
        <w:tc>
          <w:tcPr>
            <w:tcW w:w="8000" w:type="dxa"/>
            <w:tcBorders>
              <w:top w:val="single" w:sz="6" w:space="0" w:color="auto"/>
              <w:left w:val="single" w:sz="6" w:space="0" w:color="auto"/>
              <w:bottom w:val="single" w:sz="6" w:space="0" w:color="auto"/>
            </w:tcBorders>
          </w:tcPr>
          <w:p w14:paraId="2E6129E4" w14:textId="62D53025" w:rsidR="00CA6D12" w:rsidRPr="004229C1" w:rsidRDefault="00CA6D12" w:rsidP="00CA6D12">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 xml:space="preserve">Затвердження програм капіталізації/реструктуризації, розгляд питань, пов'язаних з процесом збільшення капіталу, затвердження Плану відновлення діяльності, розгляд пакету звітності ICAAP, затвердження фінансових результатів діяльності Банку, фінансової звітності, оновленої інформації про виконання програми капіталізації, звітів структурних підрозділів, у тому числі з питань фінансового моніторингу, комплаєнсу, лімітів ризик-апетиту RAF, RAS, ICAAP та індикаторів Плану відновлення діяльності, розгляд аудиторських звітів та затвердження відповідних планів заходів, стан виконання рекомендацій внутрішнього аудиту, затвердження плану продажу активів, затвердження кредитування юридичних/фізичних осіб відповідно до законодавства та внутрішніх правил, встановлення лімітів на міжбанківські операції, забезпечення пропозиції річного бюджету, затвердження переоцінки ризиків функцій, переданих на аутсорсинг, скасування </w:t>
            </w:r>
            <w:proofErr w:type="spellStart"/>
            <w:r w:rsidRPr="004229C1">
              <w:rPr>
                <w:rFonts w:ascii="Times New Roman" w:eastAsia="Times New Roman" w:hAnsi="Times New Roman" w:cs="Times New Roman"/>
                <w:bCs/>
                <w:sz w:val="22"/>
                <w:szCs w:val="22"/>
                <w:lang w:val="uk-UA"/>
              </w:rPr>
              <w:t>аутсорсингової</w:t>
            </w:r>
            <w:proofErr w:type="spellEnd"/>
            <w:r w:rsidRPr="004229C1">
              <w:rPr>
                <w:rFonts w:ascii="Times New Roman" w:eastAsia="Times New Roman" w:hAnsi="Times New Roman" w:cs="Times New Roman"/>
                <w:bCs/>
                <w:sz w:val="22"/>
                <w:szCs w:val="22"/>
                <w:lang w:val="uk-UA"/>
              </w:rPr>
              <w:t xml:space="preserve"> діяльності та затвердження </w:t>
            </w:r>
            <w:proofErr w:type="spellStart"/>
            <w:r w:rsidRPr="004229C1">
              <w:rPr>
                <w:rFonts w:ascii="Times New Roman" w:eastAsia="Times New Roman" w:hAnsi="Times New Roman" w:cs="Times New Roman"/>
                <w:bCs/>
                <w:sz w:val="22"/>
                <w:szCs w:val="22"/>
                <w:lang w:val="uk-UA"/>
              </w:rPr>
              <w:t>інсорсингу</w:t>
            </w:r>
            <w:proofErr w:type="spellEnd"/>
            <w:r w:rsidRPr="004229C1">
              <w:rPr>
                <w:rFonts w:ascii="Times New Roman" w:eastAsia="Times New Roman" w:hAnsi="Times New Roman" w:cs="Times New Roman"/>
                <w:bCs/>
                <w:sz w:val="22"/>
                <w:szCs w:val="22"/>
                <w:lang w:val="uk-UA"/>
              </w:rPr>
              <w:t xml:space="preserve"> до Банку, затвердження витрат та внутрішніх документів відповідно до внутрішніх правил, взяття до уваги документів Групи, затвердження призупинення діяльності відділень Банку, затвердження результатів інвентаризації, затвердження результатів переоцінки застави тощо.</w:t>
            </w:r>
          </w:p>
        </w:tc>
      </w:tr>
    </w:tbl>
    <w:p w14:paraId="2E8A0306"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7FA2CC8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b/>
          <w:bCs/>
          <w:kern w:val="0"/>
          <w:lang w:val="uk-UA"/>
        </w:rPr>
      </w:pPr>
      <w:r w:rsidRPr="004229C1">
        <w:rPr>
          <w:rFonts w:ascii="Times New Roman" w:hAnsi="Times New Roman" w:cs="Times New Roman"/>
          <w:b/>
          <w:bCs/>
          <w:kern w:val="0"/>
          <w:lang w:val="uk-UA"/>
        </w:rPr>
        <w:t>Інформація про проведені засідання комітетів колегіального виконавчого органу та загальний опис прийнятих рішень</w:t>
      </w:r>
    </w:p>
    <w:tbl>
      <w:tblPr>
        <w:tblStyle w:val="TableGrid1"/>
        <w:tblpPr w:leftFromText="180" w:rightFromText="180" w:vertAnchor="text" w:tblpX="137" w:tblpY="1"/>
        <w:tblOverlap w:val="never"/>
        <w:tblW w:w="9923" w:type="dxa"/>
        <w:tblLayout w:type="fixed"/>
        <w:tblLook w:val="04A0" w:firstRow="1" w:lastRow="0" w:firstColumn="1" w:lastColumn="0" w:noHBand="0" w:noVBand="1"/>
      </w:tblPr>
      <w:tblGrid>
        <w:gridCol w:w="1418"/>
        <w:gridCol w:w="1559"/>
        <w:gridCol w:w="850"/>
        <w:gridCol w:w="993"/>
        <w:gridCol w:w="5103"/>
      </w:tblGrid>
      <w:tr w:rsidR="008F47C0" w:rsidRPr="004229C1" w14:paraId="48014A7C" w14:textId="77777777" w:rsidTr="002B4288">
        <w:trPr>
          <w:tblHeader/>
        </w:trPr>
        <w:tc>
          <w:tcPr>
            <w:tcW w:w="1418" w:type="dxa"/>
            <w:vAlign w:val="center"/>
          </w:tcPr>
          <w:p w14:paraId="2CD19636"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p>
          <w:p w14:paraId="7F7C68B6"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r w:rsidRPr="004229C1">
              <w:rPr>
                <w:rFonts w:ascii="Times New Roman" w:eastAsia="Times New Roman" w:hAnsi="Times New Roman" w:cs="Times New Roman"/>
                <w:bCs/>
                <w:lang w:val="uk-UA" w:eastAsia="uk-UA" w:bidi="uk-UA"/>
              </w:rPr>
              <w:t>Назва комітету</w:t>
            </w:r>
          </w:p>
        </w:tc>
        <w:tc>
          <w:tcPr>
            <w:tcW w:w="1559" w:type="dxa"/>
            <w:vAlign w:val="center"/>
          </w:tcPr>
          <w:p w14:paraId="62C9F8D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r w:rsidRPr="004229C1">
              <w:rPr>
                <w:rFonts w:ascii="Times New Roman" w:eastAsia="Times New Roman" w:hAnsi="Times New Roman" w:cs="Times New Roman"/>
                <w:bCs/>
                <w:lang w:val="uk-UA"/>
              </w:rPr>
              <w:t>Кількість</w:t>
            </w:r>
            <w:r w:rsidRPr="004229C1">
              <w:rPr>
                <w:rFonts w:ascii="Times New Roman" w:eastAsia="Times New Roman" w:hAnsi="Times New Roman" w:cs="Times New Roman"/>
                <w:bCs/>
                <w:spacing w:val="32"/>
                <w:lang w:val="uk-UA"/>
              </w:rPr>
              <w:t xml:space="preserve"> </w:t>
            </w:r>
            <w:r w:rsidRPr="004229C1">
              <w:rPr>
                <w:rFonts w:ascii="Times New Roman" w:eastAsia="Times New Roman" w:hAnsi="Times New Roman" w:cs="Times New Roman"/>
                <w:bCs/>
                <w:lang w:val="uk-UA"/>
              </w:rPr>
              <w:t>засідань</w:t>
            </w:r>
            <w:r w:rsidRPr="004229C1">
              <w:rPr>
                <w:rFonts w:ascii="Times New Roman" w:eastAsia="Times New Roman" w:hAnsi="Times New Roman" w:cs="Times New Roman"/>
                <w:bCs/>
                <w:spacing w:val="30"/>
                <w:lang w:val="uk-UA"/>
              </w:rPr>
              <w:t xml:space="preserve"> </w:t>
            </w:r>
            <w:r w:rsidRPr="004229C1">
              <w:rPr>
                <w:rFonts w:ascii="Times New Roman" w:eastAsia="Times New Roman" w:hAnsi="Times New Roman" w:cs="Times New Roman"/>
                <w:bCs/>
                <w:lang w:val="uk-UA"/>
              </w:rPr>
              <w:t>у</w:t>
            </w:r>
            <w:r w:rsidRPr="004229C1">
              <w:rPr>
                <w:rFonts w:ascii="Times New Roman" w:eastAsia="Times New Roman" w:hAnsi="Times New Roman" w:cs="Times New Roman"/>
                <w:bCs/>
                <w:spacing w:val="26"/>
                <w:lang w:val="uk-UA"/>
              </w:rPr>
              <w:t xml:space="preserve"> </w:t>
            </w:r>
            <w:r w:rsidRPr="004229C1">
              <w:rPr>
                <w:rFonts w:ascii="Times New Roman" w:eastAsia="Times New Roman" w:hAnsi="Times New Roman" w:cs="Times New Roman"/>
                <w:bCs/>
                <w:lang w:val="uk-UA"/>
              </w:rPr>
              <w:t>звітному</w:t>
            </w:r>
            <w:r w:rsidRPr="004229C1">
              <w:rPr>
                <w:rFonts w:ascii="Times New Roman" w:eastAsia="Times New Roman" w:hAnsi="Times New Roman" w:cs="Times New Roman"/>
                <w:bCs/>
                <w:spacing w:val="-47"/>
                <w:lang w:val="uk-UA"/>
              </w:rPr>
              <w:t xml:space="preserve"> </w:t>
            </w:r>
            <w:r w:rsidRPr="004229C1">
              <w:rPr>
                <w:rFonts w:ascii="Times New Roman" w:eastAsia="Times New Roman" w:hAnsi="Times New Roman" w:cs="Times New Roman"/>
                <w:bCs/>
                <w:lang w:val="uk-UA"/>
              </w:rPr>
              <w:t>періоді</w:t>
            </w:r>
          </w:p>
        </w:tc>
        <w:tc>
          <w:tcPr>
            <w:tcW w:w="850" w:type="dxa"/>
            <w:vAlign w:val="center"/>
          </w:tcPr>
          <w:p w14:paraId="795B3693"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r w:rsidRPr="004229C1">
              <w:rPr>
                <w:rFonts w:ascii="Times New Roman" w:eastAsia="Times New Roman" w:hAnsi="Times New Roman" w:cs="Times New Roman"/>
                <w:bCs/>
                <w:lang w:val="uk-UA"/>
              </w:rPr>
              <w:t>З</w:t>
            </w:r>
            <w:r w:rsidRPr="004229C1">
              <w:rPr>
                <w:rFonts w:ascii="Times New Roman" w:eastAsia="Times New Roman" w:hAnsi="Times New Roman" w:cs="Times New Roman"/>
                <w:bCs/>
                <w:spacing w:val="-2"/>
                <w:lang w:val="uk-UA"/>
              </w:rPr>
              <w:t xml:space="preserve"> </w:t>
            </w:r>
            <w:r w:rsidRPr="004229C1">
              <w:rPr>
                <w:rFonts w:ascii="Times New Roman" w:eastAsia="Times New Roman" w:hAnsi="Times New Roman" w:cs="Times New Roman"/>
                <w:bCs/>
                <w:lang w:val="uk-UA"/>
              </w:rPr>
              <w:t>них</w:t>
            </w:r>
            <w:r w:rsidRPr="004229C1">
              <w:rPr>
                <w:rFonts w:ascii="Times New Roman" w:eastAsia="Times New Roman" w:hAnsi="Times New Roman" w:cs="Times New Roman"/>
                <w:bCs/>
                <w:spacing w:val="-3"/>
                <w:lang w:val="uk-UA"/>
              </w:rPr>
              <w:t xml:space="preserve"> </w:t>
            </w:r>
            <w:r w:rsidRPr="004229C1">
              <w:rPr>
                <w:rFonts w:ascii="Times New Roman" w:eastAsia="Times New Roman" w:hAnsi="Times New Roman" w:cs="Times New Roman"/>
                <w:bCs/>
                <w:lang w:val="uk-UA"/>
              </w:rPr>
              <w:t>очних:</w:t>
            </w:r>
          </w:p>
        </w:tc>
        <w:tc>
          <w:tcPr>
            <w:tcW w:w="993" w:type="dxa"/>
            <w:vAlign w:val="center"/>
          </w:tcPr>
          <w:p w14:paraId="3B499EA3"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r w:rsidRPr="004229C1">
              <w:rPr>
                <w:rFonts w:ascii="Times New Roman" w:eastAsia="Times New Roman" w:hAnsi="Times New Roman" w:cs="Times New Roman"/>
                <w:bCs/>
                <w:lang w:val="uk-UA"/>
              </w:rPr>
              <w:t>З</w:t>
            </w:r>
            <w:r w:rsidRPr="004229C1">
              <w:rPr>
                <w:rFonts w:ascii="Times New Roman" w:eastAsia="Times New Roman" w:hAnsi="Times New Roman" w:cs="Times New Roman"/>
                <w:bCs/>
                <w:spacing w:val="-2"/>
                <w:lang w:val="uk-UA"/>
              </w:rPr>
              <w:t xml:space="preserve"> </w:t>
            </w:r>
            <w:r w:rsidRPr="004229C1">
              <w:rPr>
                <w:rFonts w:ascii="Times New Roman" w:eastAsia="Times New Roman" w:hAnsi="Times New Roman" w:cs="Times New Roman"/>
                <w:bCs/>
                <w:lang w:val="uk-UA"/>
              </w:rPr>
              <w:t>них</w:t>
            </w:r>
            <w:r w:rsidRPr="004229C1">
              <w:rPr>
                <w:rFonts w:ascii="Times New Roman" w:eastAsia="Times New Roman" w:hAnsi="Times New Roman" w:cs="Times New Roman"/>
                <w:bCs/>
                <w:spacing w:val="-3"/>
                <w:lang w:val="uk-UA"/>
              </w:rPr>
              <w:t xml:space="preserve"> </w:t>
            </w:r>
            <w:r w:rsidRPr="004229C1">
              <w:rPr>
                <w:rFonts w:ascii="Times New Roman" w:eastAsia="Times New Roman" w:hAnsi="Times New Roman" w:cs="Times New Roman"/>
                <w:bCs/>
                <w:lang w:val="uk-UA"/>
              </w:rPr>
              <w:t>заочних:</w:t>
            </w:r>
          </w:p>
        </w:tc>
        <w:tc>
          <w:tcPr>
            <w:tcW w:w="5103" w:type="dxa"/>
            <w:vAlign w:val="center"/>
          </w:tcPr>
          <w:p w14:paraId="1257A929"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Cs/>
                <w:lang w:val="uk-UA" w:eastAsia="uk-UA" w:bidi="uk-UA"/>
              </w:rPr>
            </w:pPr>
            <w:r w:rsidRPr="004229C1">
              <w:rPr>
                <w:rFonts w:ascii="Times New Roman" w:eastAsia="Times New Roman" w:hAnsi="Times New Roman" w:cs="Times New Roman"/>
                <w:bCs/>
                <w:lang w:val="uk-UA"/>
              </w:rPr>
              <w:t>Опис ключових</w:t>
            </w:r>
            <w:r w:rsidRPr="004229C1">
              <w:rPr>
                <w:rFonts w:ascii="Times New Roman" w:eastAsia="Times New Roman" w:hAnsi="Times New Roman" w:cs="Times New Roman"/>
                <w:bCs/>
                <w:spacing w:val="-4"/>
                <w:lang w:val="uk-UA"/>
              </w:rPr>
              <w:t xml:space="preserve"> </w:t>
            </w:r>
            <w:r w:rsidRPr="004229C1">
              <w:rPr>
                <w:rFonts w:ascii="Times New Roman" w:eastAsia="Times New Roman" w:hAnsi="Times New Roman" w:cs="Times New Roman"/>
                <w:bCs/>
                <w:lang w:val="uk-UA"/>
              </w:rPr>
              <w:t>рішень:</w:t>
            </w:r>
          </w:p>
        </w:tc>
      </w:tr>
      <w:tr w:rsidR="008F47C0" w:rsidRPr="004229C1" w14:paraId="6F599D0D" w14:textId="77777777" w:rsidTr="002B4288">
        <w:tc>
          <w:tcPr>
            <w:tcW w:w="1418" w:type="dxa"/>
            <w:vAlign w:val="center"/>
          </w:tcPr>
          <w:p w14:paraId="7493408C"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Кредитний комітет</w:t>
            </w:r>
          </w:p>
        </w:tc>
        <w:tc>
          <w:tcPr>
            <w:tcW w:w="1559" w:type="dxa"/>
            <w:vAlign w:val="center"/>
          </w:tcPr>
          <w:p w14:paraId="50204254"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46</w:t>
            </w:r>
          </w:p>
        </w:tc>
        <w:tc>
          <w:tcPr>
            <w:tcW w:w="850" w:type="dxa"/>
            <w:vAlign w:val="center"/>
          </w:tcPr>
          <w:p w14:paraId="009D79F2"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40</w:t>
            </w:r>
          </w:p>
        </w:tc>
        <w:tc>
          <w:tcPr>
            <w:tcW w:w="993" w:type="dxa"/>
            <w:vAlign w:val="center"/>
          </w:tcPr>
          <w:p w14:paraId="345BDBD5"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6</w:t>
            </w:r>
          </w:p>
        </w:tc>
        <w:tc>
          <w:tcPr>
            <w:tcW w:w="5103" w:type="dxa"/>
          </w:tcPr>
          <w:p w14:paraId="430D4695"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Затвердження кредитування, внесення змін/перегляд умов кредитування корпоративних та роздрібних клієнтів, , подовження/поновлення лімітів на міжбанківські операції з фінансовими установами, акредитація страхових компаній, погодження подовження траншів, погодження незастосування штрафних санкцій за порушення </w:t>
            </w:r>
            <w:proofErr w:type="spellStart"/>
            <w:r w:rsidRPr="004229C1">
              <w:rPr>
                <w:rFonts w:ascii="Times New Roman" w:eastAsia="Times New Roman" w:hAnsi="Times New Roman" w:cs="Times New Roman"/>
                <w:lang w:val="uk-UA"/>
              </w:rPr>
              <w:t>ковенант</w:t>
            </w:r>
            <w:proofErr w:type="spellEnd"/>
            <w:r w:rsidRPr="004229C1">
              <w:rPr>
                <w:rFonts w:ascii="Times New Roman" w:eastAsia="Times New Roman" w:hAnsi="Times New Roman" w:cs="Times New Roman"/>
                <w:lang w:val="uk-UA"/>
              </w:rPr>
              <w:t>, інше.</w:t>
            </w:r>
          </w:p>
        </w:tc>
      </w:tr>
      <w:tr w:rsidR="008F47C0" w:rsidRPr="004229C1" w14:paraId="63E312DC" w14:textId="77777777" w:rsidTr="002B4288">
        <w:tc>
          <w:tcPr>
            <w:tcW w:w="1418" w:type="dxa"/>
            <w:vAlign w:val="center"/>
          </w:tcPr>
          <w:p w14:paraId="5BEAF8DA"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кредитним ризиком</w:t>
            </w:r>
          </w:p>
        </w:tc>
        <w:tc>
          <w:tcPr>
            <w:tcW w:w="1559" w:type="dxa"/>
            <w:vAlign w:val="center"/>
          </w:tcPr>
          <w:p w14:paraId="6059AA3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12</w:t>
            </w:r>
          </w:p>
        </w:tc>
        <w:tc>
          <w:tcPr>
            <w:tcW w:w="850" w:type="dxa"/>
            <w:vAlign w:val="center"/>
          </w:tcPr>
          <w:p w14:paraId="6AE41D2D"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12</w:t>
            </w:r>
          </w:p>
        </w:tc>
        <w:tc>
          <w:tcPr>
            <w:tcW w:w="993" w:type="dxa"/>
            <w:vAlign w:val="center"/>
          </w:tcPr>
          <w:p w14:paraId="4C404AB2"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597E7889"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Взяття до уваги звіту щодо кредитного ризику, затвердження концепцій щодо кредитних продуктів роздрібного та корпоративного сегменту, затвердження каталогу кредитних продуктів, внутрішніх документів, взяття до уваги документів Групи, затвердження умов співпраці з компаніями зі стягнення, взяття до уваги результатів пост-продажного моніторингу в частині кредитних продуктів, інше.</w:t>
            </w:r>
          </w:p>
        </w:tc>
      </w:tr>
      <w:tr w:rsidR="008F47C0" w:rsidRPr="004229C1" w14:paraId="5C291C88" w14:textId="77777777" w:rsidTr="002B4288">
        <w:tc>
          <w:tcPr>
            <w:tcW w:w="1418" w:type="dxa"/>
            <w:vAlign w:val="center"/>
          </w:tcPr>
          <w:p w14:paraId="19575BC3"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непрацюючими активами</w:t>
            </w:r>
          </w:p>
        </w:tc>
        <w:tc>
          <w:tcPr>
            <w:tcW w:w="1559" w:type="dxa"/>
            <w:vAlign w:val="center"/>
          </w:tcPr>
          <w:p w14:paraId="47681983"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32</w:t>
            </w:r>
          </w:p>
        </w:tc>
        <w:tc>
          <w:tcPr>
            <w:tcW w:w="850" w:type="dxa"/>
            <w:vAlign w:val="center"/>
          </w:tcPr>
          <w:p w14:paraId="7FA78FFA"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31</w:t>
            </w:r>
          </w:p>
        </w:tc>
        <w:tc>
          <w:tcPr>
            <w:tcW w:w="993" w:type="dxa"/>
            <w:vAlign w:val="center"/>
          </w:tcPr>
          <w:p w14:paraId="5A4B5E6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w:t>
            </w:r>
          </w:p>
        </w:tc>
        <w:tc>
          <w:tcPr>
            <w:tcW w:w="5103" w:type="dxa"/>
          </w:tcPr>
          <w:p w14:paraId="1871ADE6"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Затвердження класифікації кредитного портфеля за МСФЗ, формування резервів за МСФЗ, розрахунок кредитного ризику; взяття до уваги звіту з управління кредитами, статусу виконання Стратегії управління проблемними активами та Оперативного плану, звіту щодо системи раннього попередження, результатів аналізу портфеля на наявність подій дефолту/затвердження судження про відсутність дефолту, погодження планів дій щодо позичальників, затвердження реструктуризації непрацюючих кредитів, списання знецінених активів, затвердження добровільного врегулювання заборгованості, продаж прав вимоги інше.</w:t>
            </w:r>
          </w:p>
        </w:tc>
      </w:tr>
      <w:tr w:rsidR="008F47C0" w:rsidRPr="004229C1" w14:paraId="1D0AC96D" w14:textId="77777777" w:rsidTr="002B4288">
        <w:tc>
          <w:tcPr>
            <w:tcW w:w="1418" w:type="dxa"/>
            <w:vAlign w:val="center"/>
          </w:tcPr>
          <w:p w14:paraId="30386E4A"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активами та пасивами</w:t>
            </w:r>
          </w:p>
        </w:tc>
        <w:tc>
          <w:tcPr>
            <w:tcW w:w="1559" w:type="dxa"/>
            <w:vAlign w:val="center"/>
          </w:tcPr>
          <w:p w14:paraId="7FEBE166"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20</w:t>
            </w:r>
          </w:p>
        </w:tc>
        <w:tc>
          <w:tcPr>
            <w:tcW w:w="850" w:type="dxa"/>
            <w:vAlign w:val="center"/>
          </w:tcPr>
          <w:p w14:paraId="1733021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13</w:t>
            </w:r>
          </w:p>
        </w:tc>
        <w:tc>
          <w:tcPr>
            <w:tcW w:w="993" w:type="dxa"/>
            <w:vAlign w:val="center"/>
          </w:tcPr>
          <w:p w14:paraId="1AE2EAF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6</w:t>
            </w:r>
          </w:p>
        </w:tc>
        <w:tc>
          <w:tcPr>
            <w:tcW w:w="5103" w:type="dxa"/>
          </w:tcPr>
          <w:p w14:paraId="0E5CE6B1"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 xml:space="preserve">Взяття до уваги прогнозу ліквідності, звіту з вартості </w:t>
            </w:r>
            <w:proofErr w:type="spellStart"/>
            <w:r w:rsidRPr="004229C1">
              <w:rPr>
                <w:rFonts w:ascii="Times New Roman" w:eastAsia="Times New Roman" w:hAnsi="Times New Roman" w:cs="Times New Roman"/>
                <w:lang w:val="uk-UA"/>
              </w:rPr>
              <w:t>фондування</w:t>
            </w:r>
            <w:proofErr w:type="spellEnd"/>
            <w:r w:rsidRPr="004229C1">
              <w:rPr>
                <w:rFonts w:ascii="Times New Roman" w:eastAsia="Times New Roman" w:hAnsi="Times New Roman" w:cs="Times New Roman"/>
                <w:lang w:val="uk-UA"/>
              </w:rPr>
              <w:t>, затвердження плану щодо портфеля цінних паперів, затвердження референтних ставок, взяття до уваги звіту з фінансового ризику, надання повноважень на встановлення варіативних тарифів (ставок/комісій), взяття до уваги звітів про використання наданих повноважень, встановлення варіативних тарифів клієнтам Банку, перегляд стандартних ставок/тарифів, затвердження концепцій нових продуктів/зміна умов за продуктами, взяття до уваги результатів пост-продажного моніторингу в частині фінансових продуктів, інше.</w:t>
            </w:r>
          </w:p>
        </w:tc>
      </w:tr>
      <w:tr w:rsidR="008F47C0" w:rsidRPr="004229C1" w14:paraId="39D03660" w14:textId="77777777" w:rsidTr="002B4288">
        <w:tc>
          <w:tcPr>
            <w:tcW w:w="1418" w:type="dxa"/>
            <w:vAlign w:val="center"/>
          </w:tcPr>
          <w:p w14:paraId="41DE2C1F"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операційним ризиком</w:t>
            </w:r>
          </w:p>
        </w:tc>
        <w:tc>
          <w:tcPr>
            <w:tcW w:w="1559" w:type="dxa"/>
            <w:vAlign w:val="center"/>
          </w:tcPr>
          <w:p w14:paraId="034F6CB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4</w:t>
            </w:r>
          </w:p>
        </w:tc>
        <w:tc>
          <w:tcPr>
            <w:tcW w:w="850" w:type="dxa"/>
            <w:vAlign w:val="center"/>
          </w:tcPr>
          <w:p w14:paraId="190A7EF3"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4</w:t>
            </w:r>
          </w:p>
        </w:tc>
        <w:tc>
          <w:tcPr>
            <w:tcW w:w="993" w:type="dxa"/>
            <w:vAlign w:val="center"/>
          </w:tcPr>
          <w:p w14:paraId="42B4FB4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3418E32E"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Взяття до уваги звіту щодо операційного ризику, взяття до уваги внутрішніх документів/документів Групи, інше</w:t>
            </w:r>
          </w:p>
        </w:tc>
      </w:tr>
      <w:tr w:rsidR="008F47C0" w:rsidRPr="004229C1" w14:paraId="74D014B6" w14:textId="77777777" w:rsidTr="002B4288">
        <w:tc>
          <w:tcPr>
            <w:tcW w:w="1418" w:type="dxa"/>
            <w:vAlign w:val="center"/>
          </w:tcPr>
          <w:p w14:paraId="03C2D27A"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управління змінами</w:t>
            </w:r>
          </w:p>
        </w:tc>
        <w:tc>
          <w:tcPr>
            <w:tcW w:w="1559" w:type="dxa"/>
            <w:vAlign w:val="center"/>
          </w:tcPr>
          <w:p w14:paraId="64113E6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12</w:t>
            </w:r>
          </w:p>
        </w:tc>
        <w:tc>
          <w:tcPr>
            <w:tcW w:w="850" w:type="dxa"/>
            <w:vAlign w:val="center"/>
          </w:tcPr>
          <w:p w14:paraId="0492E197"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12</w:t>
            </w:r>
          </w:p>
        </w:tc>
        <w:tc>
          <w:tcPr>
            <w:tcW w:w="993" w:type="dxa"/>
            <w:vAlign w:val="center"/>
          </w:tcPr>
          <w:p w14:paraId="11E502E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19ABF483"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Взяття до уваги огляду портфелю проектів, затвердження запуску нових проектів, взяття до уваги статус-звітів за існуючими проєктами, взяття до уваги огляду статей капітального бюджету, взяття до уваги огляду та черги ІТ-запитів на доопрацювання та інше.</w:t>
            </w:r>
          </w:p>
        </w:tc>
      </w:tr>
      <w:tr w:rsidR="008F47C0" w:rsidRPr="004229C1" w14:paraId="73310B36" w14:textId="77777777" w:rsidTr="002B4288">
        <w:tc>
          <w:tcPr>
            <w:tcW w:w="1418" w:type="dxa"/>
            <w:vAlign w:val="center"/>
          </w:tcPr>
          <w:p w14:paraId="6DB7832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інформаційною безпекою</w:t>
            </w:r>
          </w:p>
        </w:tc>
        <w:tc>
          <w:tcPr>
            <w:tcW w:w="1559" w:type="dxa"/>
            <w:vAlign w:val="center"/>
          </w:tcPr>
          <w:p w14:paraId="342E49F4"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3</w:t>
            </w:r>
          </w:p>
        </w:tc>
        <w:tc>
          <w:tcPr>
            <w:tcW w:w="850" w:type="dxa"/>
            <w:vAlign w:val="center"/>
          </w:tcPr>
          <w:p w14:paraId="6ED7DBB2"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3</w:t>
            </w:r>
          </w:p>
        </w:tc>
        <w:tc>
          <w:tcPr>
            <w:tcW w:w="993" w:type="dxa"/>
            <w:vAlign w:val="center"/>
          </w:tcPr>
          <w:p w14:paraId="6A14357F"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24553077"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Взяття до уваги звітів з інформаційної безпеки та безперервністю бізнесу, звітів щодо інформаційно-комунікаційних технологій, затвердження внутрішніх документів та взяття до уваги документів Групи, розгляд пропозицій в частині забезпечення безперервності діяльності Банку та ІТ інфраструктури.</w:t>
            </w:r>
          </w:p>
        </w:tc>
      </w:tr>
      <w:tr w:rsidR="008F47C0" w:rsidRPr="004229C1" w14:paraId="6F5DADD3" w14:textId="77777777" w:rsidTr="002B4288">
        <w:tc>
          <w:tcPr>
            <w:tcW w:w="1418" w:type="dxa"/>
            <w:vAlign w:val="center"/>
          </w:tcPr>
          <w:p w14:paraId="3B88097C"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управління кризою</w:t>
            </w:r>
          </w:p>
        </w:tc>
        <w:tc>
          <w:tcPr>
            <w:tcW w:w="1559" w:type="dxa"/>
            <w:vAlign w:val="center"/>
          </w:tcPr>
          <w:p w14:paraId="6CE09F0E"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850" w:type="dxa"/>
            <w:vAlign w:val="center"/>
          </w:tcPr>
          <w:p w14:paraId="0042C118"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993" w:type="dxa"/>
            <w:vAlign w:val="center"/>
          </w:tcPr>
          <w:p w14:paraId="1BF66381"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5653FEAA"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Не скликався, оскільки комітет скликається за потребою, у стані кризи</w:t>
            </w:r>
          </w:p>
        </w:tc>
      </w:tr>
      <w:tr w:rsidR="008F47C0" w:rsidRPr="004229C1" w14:paraId="246F5218" w14:textId="77777777" w:rsidTr="002B4288">
        <w:tc>
          <w:tcPr>
            <w:tcW w:w="1418" w:type="dxa"/>
            <w:vAlign w:val="center"/>
          </w:tcPr>
          <w:p w14:paraId="77E27155"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Тендерний комітет</w:t>
            </w:r>
          </w:p>
        </w:tc>
        <w:tc>
          <w:tcPr>
            <w:tcW w:w="1559" w:type="dxa"/>
            <w:vAlign w:val="center"/>
          </w:tcPr>
          <w:p w14:paraId="4522C97B"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13</w:t>
            </w:r>
          </w:p>
        </w:tc>
        <w:tc>
          <w:tcPr>
            <w:tcW w:w="850" w:type="dxa"/>
            <w:vAlign w:val="center"/>
          </w:tcPr>
          <w:p w14:paraId="62985A69"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9</w:t>
            </w:r>
          </w:p>
        </w:tc>
        <w:tc>
          <w:tcPr>
            <w:tcW w:w="993" w:type="dxa"/>
            <w:vAlign w:val="center"/>
          </w:tcPr>
          <w:p w14:paraId="09D1491C"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4</w:t>
            </w:r>
          </w:p>
        </w:tc>
        <w:tc>
          <w:tcPr>
            <w:tcW w:w="5103" w:type="dxa"/>
          </w:tcPr>
          <w:p w14:paraId="3CEE7E48" w14:textId="77777777" w:rsidR="008F47C0" w:rsidRPr="004229C1" w:rsidRDefault="008F47C0" w:rsidP="002B4288">
            <w:pPr>
              <w:widowControl w:val="0"/>
              <w:autoSpaceDE w:val="0"/>
              <w:autoSpaceDN w:val="0"/>
              <w:adjustRightInd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Затвердження постачальників для закупівлі послуг та товарів, затвердження лімітів за договорами.</w:t>
            </w:r>
          </w:p>
        </w:tc>
      </w:tr>
      <w:tr w:rsidR="008F47C0" w:rsidRPr="004229C1" w14:paraId="277320E1" w14:textId="77777777" w:rsidTr="002B4288">
        <w:tc>
          <w:tcPr>
            <w:tcW w:w="1418" w:type="dxa"/>
            <w:vAlign w:val="center"/>
          </w:tcPr>
          <w:p w14:paraId="5DAD3690"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eastAsia="uk-UA" w:bidi="uk-UA"/>
              </w:rPr>
            </w:pPr>
            <w:r w:rsidRPr="004229C1">
              <w:rPr>
                <w:rFonts w:ascii="Times New Roman" w:eastAsia="Times New Roman" w:hAnsi="Times New Roman" w:cs="Times New Roman"/>
                <w:lang w:val="uk-UA"/>
              </w:rPr>
              <w:t>Комітет з екологічних, соціальних та управлінських питань</w:t>
            </w:r>
          </w:p>
        </w:tc>
        <w:tc>
          <w:tcPr>
            <w:tcW w:w="1559" w:type="dxa"/>
            <w:vAlign w:val="center"/>
          </w:tcPr>
          <w:p w14:paraId="591315F7"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5</w:t>
            </w:r>
          </w:p>
        </w:tc>
        <w:tc>
          <w:tcPr>
            <w:tcW w:w="850" w:type="dxa"/>
            <w:vAlign w:val="center"/>
          </w:tcPr>
          <w:p w14:paraId="4C3E94E6"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5</w:t>
            </w:r>
          </w:p>
        </w:tc>
        <w:tc>
          <w:tcPr>
            <w:tcW w:w="993" w:type="dxa"/>
            <w:vAlign w:val="center"/>
          </w:tcPr>
          <w:p w14:paraId="17E3122D" w14:textId="77777777" w:rsidR="008F47C0" w:rsidRPr="004229C1" w:rsidRDefault="008F47C0" w:rsidP="002B4288">
            <w:pPr>
              <w:widowControl w:val="0"/>
              <w:autoSpaceDE w:val="0"/>
              <w:autoSpaceDN w:val="0"/>
              <w:adjustRightInd w:val="0"/>
              <w:jc w:val="center"/>
              <w:rPr>
                <w:rFonts w:ascii="Times New Roman" w:eastAsia="Times New Roman" w:hAnsi="Times New Roman" w:cs="Times New Roman"/>
                <w:b/>
                <w:lang w:val="uk-UA"/>
              </w:rPr>
            </w:pPr>
            <w:r w:rsidRPr="004229C1">
              <w:rPr>
                <w:rFonts w:ascii="Times New Roman" w:eastAsia="Times New Roman" w:hAnsi="Times New Roman" w:cs="Times New Roman"/>
                <w:lang w:val="uk-UA"/>
              </w:rPr>
              <w:t>-</w:t>
            </w:r>
          </w:p>
        </w:tc>
        <w:tc>
          <w:tcPr>
            <w:tcW w:w="5103" w:type="dxa"/>
          </w:tcPr>
          <w:p w14:paraId="7D3CFAEC" w14:textId="77777777" w:rsidR="008F47C0" w:rsidRPr="004229C1" w:rsidRDefault="008F47C0" w:rsidP="002B4288">
            <w:pPr>
              <w:widowControl w:val="0"/>
              <w:autoSpaceDE w:val="0"/>
              <w:autoSpaceDN w:val="0"/>
              <w:jc w:val="both"/>
              <w:rPr>
                <w:rFonts w:ascii="Times New Roman" w:eastAsia="Times New Roman" w:hAnsi="Times New Roman" w:cs="Times New Roman"/>
                <w:b/>
                <w:lang w:val="uk-UA"/>
              </w:rPr>
            </w:pPr>
            <w:r w:rsidRPr="004229C1">
              <w:rPr>
                <w:rFonts w:ascii="Times New Roman" w:eastAsia="Times New Roman" w:hAnsi="Times New Roman" w:cs="Times New Roman"/>
                <w:lang w:val="uk-UA"/>
              </w:rPr>
              <w:t>Взяття до уваги звіту з екологічних, соціальних та управлінських питань щодо статусу проектів та ініціатив, затвердження переліку проектів та ініціатив з екологічних, соціальних та управлінських питань.</w:t>
            </w:r>
          </w:p>
        </w:tc>
      </w:tr>
    </w:tbl>
    <w:p w14:paraId="50822BA7" w14:textId="77777777" w:rsidR="008F47C0" w:rsidRPr="004229C1" w:rsidRDefault="008F47C0">
      <w:pPr>
        <w:widowControl w:val="0"/>
        <w:autoSpaceDE w:val="0"/>
        <w:autoSpaceDN w:val="0"/>
        <w:adjustRightInd w:val="0"/>
        <w:spacing w:after="0" w:line="240" w:lineRule="auto"/>
        <w:jc w:val="center"/>
        <w:rPr>
          <w:rFonts w:ascii="Times New Roman" w:hAnsi="Times New Roman" w:cs="Times New Roman"/>
          <w:kern w:val="0"/>
          <w:lang w:val="uk-UA"/>
        </w:rPr>
      </w:pPr>
    </w:p>
    <w:p w14:paraId="31492779"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58207D5D"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5F97C940"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5ED67C43"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2FC1FD42"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4B987CFA" w14:textId="77777777" w:rsidR="008F47C0" w:rsidRPr="004229C1" w:rsidRDefault="008F47C0">
      <w:pPr>
        <w:widowControl w:val="0"/>
        <w:autoSpaceDE w:val="0"/>
        <w:autoSpaceDN w:val="0"/>
        <w:adjustRightInd w:val="0"/>
        <w:spacing w:after="0" w:line="240" w:lineRule="auto"/>
        <w:rPr>
          <w:rFonts w:ascii="Times New Roman" w:hAnsi="Times New Roman" w:cs="Times New Roman"/>
          <w:kern w:val="0"/>
          <w:lang w:val="uk-UA"/>
        </w:rPr>
      </w:pPr>
    </w:p>
    <w:p w14:paraId="2C87B24A"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Звіт виконавчого органу</w:t>
      </w:r>
    </w:p>
    <w:p w14:paraId="3B81DB54" w14:textId="77777777" w:rsidR="002B4288" w:rsidRPr="004229C1" w:rsidRDefault="002B4288" w:rsidP="002B4288">
      <w:pPr>
        <w:tabs>
          <w:tab w:val="left" w:pos="2395"/>
        </w:tabs>
        <w:spacing w:after="0" w:line="240" w:lineRule="auto"/>
        <w:jc w:val="both"/>
        <w:rPr>
          <w:rFonts w:ascii="Times New Roman" w:eastAsia="Calibri" w:hAnsi="Times New Roman" w:cs="Times New Roman"/>
          <w:lang w:val="uk-UA"/>
        </w:rPr>
      </w:pPr>
    </w:p>
    <w:p w14:paraId="3851B046" w14:textId="0425DC52"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Звіт Правління за 2023 рік був затверджений рішенням Наглядової Ради Банку від 29 січня 2025 року, Протокол №2_24, питання 24 порядку денного, яким було проаналізована діяльність та склад Правління та його комітетів, компетентність та ефективність Голови та членів Правління, виконання плану заходів щодо вдосконалення роботи Правління на 2024 рік, за результатами чого діяльність Правління Банку та кожного члена Правління у 2024 році була оцінена як ефективну і підтверджено, що колективна придатність Правління відповідає встановленим вимогам щодо колективної придатності, зокрема:</w:t>
      </w:r>
    </w:p>
    <w:p w14:paraId="3EA369DA"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Щодо оцінки складу, структури та діяльності Правління Банку</w:t>
      </w:r>
      <w:r w:rsidRPr="004229C1">
        <w:rPr>
          <w:rFonts w:ascii="Times New Roman" w:eastAsia="Calibri" w:hAnsi="Times New Roman" w:cs="Times New Roman"/>
          <w:lang w:val="uk-UA"/>
        </w:rPr>
        <w:t xml:space="preserve"> </w:t>
      </w:r>
    </w:p>
    <w:p w14:paraId="6835F546"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Склад Правління повністю відповідає законодавству України та внутрішнім нормативним документам в частині кількості членів Правління відповідно до Статуту Банку – мінімум 3 (три) o наявності відповідального за проведення фінансового моніторингу серед членів Правління, відсутності факту </w:t>
      </w:r>
      <w:proofErr w:type="spellStart"/>
      <w:r w:rsidRPr="004229C1">
        <w:rPr>
          <w:rFonts w:ascii="Times New Roman" w:eastAsia="Calibri" w:hAnsi="Times New Roman" w:cs="Times New Roman"/>
          <w:lang w:val="uk-UA"/>
        </w:rPr>
        <w:t>очолення</w:t>
      </w:r>
      <w:proofErr w:type="spellEnd"/>
      <w:r w:rsidRPr="004229C1">
        <w:rPr>
          <w:rFonts w:ascii="Times New Roman" w:eastAsia="Calibri" w:hAnsi="Times New Roman" w:cs="Times New Roman"/>
          <w:lang w:val="uk-UA"/>
        </w:rPr>
        <w:t xml:space="preserve"> структурних підрозділів Банку Головою Правління та займання посад Головою та членами Правління в інших юридичних особах, відповідності вимоги щодо Голови та членів Правління бути дієздатними фізичними особами, які відповідають кваліфікаційним вимогам щодо професійної придатності та ділової репутації, установленим законодавством, колективної придатності Правління Банку, яка відповідає розміру, особливостям діяльності Банку, характеру і обсягам банківських та інших фінансових послуг, профілю ризику Банку, системної важливості Банку. </w:t>
      </w:r>
    </w:p>
    <w:p w14:paraId="790F64EE"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Структура Правління відповідає законодавству та нормативним актам в частині встановлення чіткого персонального розподілу функцій та повноважень членів Правління, створення обов’язкових комітетів Правління (Кредитний комітет та Комітет з управління активами та пасивами).</w:t>
      </w:r>
    </w:p>
    <w:p w14:paraId="5E9FEAE1"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Ефективності діяльності Правління дотримано на належному рівні в частині скликання засідань у своїй більшості відповідно до затвердженого плану роботи та календаря на 2023 року, середній коефіцієнт чергових та позачергових засідань складає – 88 %/12%, високий рівень відвідування членами Правління засідань Правління та його комітетів, середній показник – 92,4%, дотриманням стратегії та бізнес-плану Банку з акцентом на ризик-орієнтованому підході та оптимізації витрат, дотримання регуляторних вимог;</w:t>
      </w:r>
    </w:p>
    <w:p w14:paraId="5AB2AF16" w14:textId="77777777" w:rsidR="008F47C0" w:rsidRPr="004229C1" w:rsidRDefault="008F47C0" w:rsidP="002B4288">
      <w:pPr>
        <w:tabs>
          <w:tab w:val="left" w:pos="2395"/>
        </w:tabs>
        <w:spacing w:after="0" w:line="240" w:lineRule="auto"/>
        <w:jc w:val="both"/>
        <w:rPr>
          <w:rFonts w:ascii="Times New Roman" w:eastAsia="Calibri" w:hAnsi="Times New Roman" w:cs="Times New Roman"/>
          <w:bCs/>
          <w:lang w:val="uk-UA"/>
        </w:rPr>
      </w:pPr>
      <w:r w:rsidRPr="004229C1">
        <w:rPr>
          <w:rFonts w:ascii="Times New Roman" w:eastAsia="Calibri" w:hAnsi="Times New Roman" w:cs="Times New Roman"/>
          <w:bCs/>
          <w:lang w:val="uk-UA"/>
        </w:rPr>
        <w:t xml:space="preserve">Щодо оцінки компетентності та ефективності Голови та членів Правління Банку </w:t>
      </w:r>
    </w:p>
    <w:p w14:paraId="0817D447"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Голова та члени Правління відповідають кваліфікаційним вимогам та вимогам щодо професійної придатності, що встановлено Наглядовою Радою , рішення від 23 грудня 2024 року, Протокол №28_24, в частині </w:t>
      </w:r>
    </w:p>
    <w:p w14:paraId="15376876"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освіта та професійний досвід (вища освіта, досвід роботи в банківській/фінансовій сфері: для Голови - не менше 5 років, з них 3 роки на посаді керівника 1-ої лінії, для членів - не менше 3 років): Правління повністю відповідає вимогам Банку щодо наявних навичок та досвіду з точки зору розміру Банку, враховуючи значний відповідний досвід Голови та членів Правління, якого достатньо для повного та глибокого аналізу всіх питань, винесених на розгляд Правління та комітетів Правління. Різноманітність галузей освіти (фінанси, економіка, право, менеджмент) та набутий досвід роботи всіх членів Правління повністю охоплює сфери діяльності Банку та профіль ризиків; </w:t>
      </w:r>
    </w:p>
    <w:p w14:paraId="09AF20FB"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незалежність думки та конфлікт інтересів: Голова та члени Правління володіють незалежністю думки, що дозволяє висловлювати думки, не піддаючись впливу, який скомпрометує професійне судження, дозволяючи діяти чесно, виявляти об’єктивність і професійний скептицизм. Протягом 2023 року фактів конфлікту інтересів у членів Правління не було заявлено та не виявлено. </w:t>
      </w:r>
    </w:p>
    <w:p w14:paraId="1E90F3CF"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час, витрачений на виконання професійних обов’язків: Голова та члени Правління вносять значний внесок в ефективну роботу Правління та комітетів Правління, приділяють достатньо часу виконанню своїх обов’язків.</w:t>
      </w:r>
    </w:p>
    <w:p w14:paraId="39E60FA3" w14:textId="77777777" w:rsidR="008F47C0" w:rsidRPr="004229C1" w:rsidRDefault="008F47C0" w:rsidP="002B4288">
      <w:pPr>
        <w:numPr>
          <w:ilvl w:val="0"/>
          <w:numId w:val="13"/>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бездоганна репутація: Протягом 2024 року не виявлено жодних ознак , які могли б свідчити про порушення вимог щодо бездоганної ділової репутації Голови та/або членів Правління.</w:t>
      </w:r>
    </w:p>
    <w:p w14:paraId="49F2A5F9"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Правління повністю відповідає вимогам щодо наявних навичок, досвіду, колективної придатності відповідно до розміру Банку, складності, обсягу, видів, характеру операцій Банку, організаційної структури та профілю ризику Банку. </w:t>
      </w:r>
      <w:r w:rsidRPr="004229C1">
        <w:rPr>
          <w:rFonts w:ascii="Times New Roman" w:eastAsia="Calibri" w:hAnsi="Times New Roman" w:cs="Times New Roman"/>
          <w:lang w:val="uk-UA"/>
        </w:rPr>
        <w:cr/>
        <w:t xml:space="preserve">Відповідно до заповненої Матриці колективної придатності Правління, члени Правління разом мають знання, навички та досвід, необхідні Правлінню для виконання своїх повноважень. Правління як колегіальний орган має відповідне розуміння тих сфер діяльності Банку, за які члени Правління несуть колективну відповідальність, а також здійснює ефективне управління Банком. </w:t>
      </w:r>
    </w:p>
    <w:p w14:paraId="3D801D2B"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bCs/>
          <w:lang w:val="uk-UA"/>
        </w:rPr>
        <w:t>Щодо оцінки виконання Правлінням Банку поставлених цілей, впливу рішень, прийнятих Правлінням Банку протягом звітного періоду, на досягнення поставлених перед особою стратегічних цілей</w:t>
      </w:r>
      <w:r w:rsidRPr="004229C1">
        <w:rPr>
          <w:rFonts w:ascii="Times New Roman" w:eastAsia="Calibri" w:hAnsi="Times New Roman" w:cs="Times New Roman"/>
          <w:lang w:val="uk-UA"/>
        </w:rPr>
        <w:t>:</w:t>
      </w:r>
    </w:p>
    <w:p w14:paraId="50BB3F1B"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Незважаючи на війну, що триває в Україні, та всі виклики, що виникли у зв'язку з нею, протягом 2024 року, серед іншого, Правлінню вдалося виконати ключові цілі, серед іншого,</w:t>
      </w:r>
    </w:p>
    <w:p w14:paraId="3A70DAEE"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актуалізувати Програму капіталізації/реструктуризації щодо досягнення визначеного необхідного рівня показників адекватності капіталу на основі вимог НБУ</w:t>
      </w:r>
    </w:p>
    <w:p w14:paraId="168BBA6D"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здійснити збільшення капіталу за рахунок власних коштів Материнської компанії</w:t>
      </w:r>
      <w:r w:rsidRPr="004229C1" w:rsidDel="008F19ED">
        <w:rPr>
          <w:rFonts w:ascii="Times New Roman" w:eastAsia="Calibri" w:hAnsi="Times New Roman" w:cs="Times New Roman"/>
          <w:lang w:val="uk-UA"/>
        </w:rPr>
        <w:t xml:space="preserve"> </w:t>
      </w:r>
      <w:r w:rsidRPr="004229C1">
        <w:rPr>
          <w:rFonts w:ascii="Times New Roman" w:eastAsia="Calibri" w:hAnsi="Times New Roman" w:cs="Times New Roman"/>
          <w:lang w:val="uk-UA"/>
        </w:rPr>
        <w:t>на суму 26 млн євро</w:t>
      </w:r>
    </w:p>
    <w:p w14:paraId="097B9289"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збільшити процентний дохід від розміщення коштів, отриманих від збільшення капіталу (1,1 млрд грн), в депозитні сертифікати НБУ (</w:t>
      </w:r>
      <w:proofErr w:type="spellStart"/>
      <w:r w:rsidRPr="004229C1">
        <w:rPr>
          <w:rFonts w:ascii="Times New Roman" w:eastAsia="Calibri" w:hAnsi="Times New Roman" w:cs="Times New Roman"/>
          <w:lang w:val="uk-UA"/>
        </w:rPr>
        <w:t>овернайт</w:t>
      </w:r>
      <w:proofErr w:type="spellEnd"/>
      <w:r w:rsidRPr="004229C1">
        <w:rPr>
          <w:rFonts w:ascii="Times New Roman" w:eastAsia="Calibri" w:hAnsi="Times New Roman" w:cs="Times New Roman"/>
          <w:lang w:val="uk-UA"/>
        </w:rPr>
        <w:t>)</w:t>
      </w:r>
    </w:p>
    <w:p w14:paraId="64B14851"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укласти угоди з реструктуризації з 2 основними непрацюючими кредитами з підвищення ставки, отримавши додаткову заставу та зменшивши значення нормативу H7</w:t>
      </w:r>
    </w:p>
    <w:p w14:paraId="00302E43"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зменшити витрати на формування/резервування резервів у 2024 році за рахунок погашення непрацюючих кредитів та реалізації заходів з реструктуризації кредитів</w:t>
      </w:r>
    </w:p>
    <w:p w14:paraId="536B63DB"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змінити політику фінансового портфеля в частині інвестицій, а саме збільшити строки та ліміти за ОВДП (у </w:t>
      </w:r>
      <w:proofErr w:type="spellStart"/>
      <w:r w:rsidRPr="004229C1">
        <w:rPr>
          <w:rFonts w:ascii="Times New Roman" w:eastAsia="Calibri" w:hAnsi="Times New Roman" w:cs="Times New Roman"/>
          <w:lang w:val="uk-UA"/>
        </w:rPr>
        <w:t>т.ч</w:t>
      </w:r>
      <w:proofErr w:type="spellEnd"/>
      <w:r w:rsidRPr="004229C1">
        <w:rPr>
          <w:rFonts w:ascii="Times New Roman" w:eastAsia="Calibri" w:hAnsi="Times New Roman" w:cs="Times New Roman"/>
          <w:lang w:val="uk-UA"/>
        </w:rPr>
        <w:t>. ОВДП для виконання резервних вимог) та 3-місячними депозитними сертифікатами НБУ</w:t>
      </w:r>
    </w:p>
    <w:p w14:paraId="59E2A625"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запровадити ініціативи з оптимізації витрат шляхом створення Робочої групи з управління витратами, метою якої є перегляд доцільності всіх </w:t>
      </w:r>
      <w:proofErr w:type="spellStart"/>
      <w:r w:rsidRPr="004229C1">
        <w:rPr>
          <w:rFonts w:ascii="Times New Roman" w:eastAsia="Calibri" w:hAnsi="Times New Roman" w:cs="Times New Roman"/>
          <w:lang w:val="uk-UA"/>
        </w:rPr>
        <w:t>закупівель</w:t>
      </w:r>
      <w:proofErr w:type="spellEnd"/>
      <w:r w:rsidRPr="004229C1">
        <w:rPr>
          <w:rFonts w:ascii="Times New Roman" w:eastAsia="Calibri" w:hAnsi="Times New Roman" w:cs="Times New Roman"/>
          <w:lang w:val="uk-UA"/>
        </w:rPr>
        <w:t xml:space="preserve"> та встановлення 80% ліміту використання бюджетних коштів</w:t>
      </w:r>
    </w:p>
    <w:p w14:paraId="670CBCA5"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підтримувати хорошу якість портфеля шляхом використання системи раннього попередження, активних переговорів з клієнтами та реструктуризації кредитів для запобігання простроченої заборгованості</w:t>
      </w:r>
    </w:p>
    <w:p w14:paraId="6EADF2A9"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дотримуватися регуляторних/пруденційних показників</w:t>
      </w:r>
    </w:p>
    <w:p w14:paraId="22432CBD"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працювати над подальшою </w:t>
      </w:r>
      <w:proofErr w:type="spellStart"/>
      <w:r w:rsidRPr="004229C1">
        <w:rPr>
          <w:rFonts w:ascii="Times New Roman" w:eastAsia="Calibri" w:hAnsi="Times New Roman" w:cs="Times New Roman"/>
          <w:lang w:val="uk-UA"/>
        </w:rPr>
        <w:t>діджиталізацією</w:t>
      </w:r>
      <w:proofErr w:type="spellEnd"/>
      <w:r w:rsidRPr="004229C1">
        <w:rPr>
          <w:rFonts w:ascii="Times New Roman" w:eastAsia="Calibri" w:hAnsi="Times New Roman" w:cs="Times New Roman"/>
          <w:lang w:val="uk-UA"/>
        </w:rPr>
        <w:t xml:space="preserve"> послуг, постійно вдосконалюючи PRAVEX </w:t>
      </w:r>
      <w:proofErr w:type="spellStart"/>
      <w:r w:rsidRPr="004229C1">
        <w:rPr>
          <w:rFonts w:ascii="Times New Roman" w:eastAsia="Calibri" w:hAnsi="Times New Roman" w:cs="Times New Roman"/>
          <w:lang w:val="uk-UA"/>
        </w:rPr>
        <w:t>Online</w:t>
      </w:r>
      <w:proofErr w:type="spellEnd"/>
    </w:p>
    <w:p w14:paraId="06182582"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долучитися до державних ініціатив, організовуючи доступне фінансування для бізнесу, який прагне реалізувати проекти, спрямовані на підвищення енергонезалежності країни, державна програма - «Національний </w:t>
      </w:r>
      <w:proofErr w:type="spellStart"/>
      <w:r w:rsidRPr="004229C1">
        <w:rPr>
          <w:rFonts w:ascii="Times New Roman" w:eastAsia="Calibri" w:hAnsi="Times New Roman" w:cs="Times New Roman"/>
          <w:lang w:val="uk-UA"/>
        </w:rPr>
        <w:t>кешбек</w:t>
      </w:r>
      <w:proofErr w:type="spellEnd"/>
      <w:r w:rsidRPr="004229C1">
        <w:rPr>
          <w:rFonts w:ascii="Times New Roman" w:eastAsia="Calibri" w:hAnsi="Times New Roman" w:cs="Times New Roman"/>
          <w:lang w:val="uk-UA"/>
        </w:rPr>
        <w:t>»</w:t>
      </w:r>
    </w:p>
    <w:p w14:paraId="67638D58"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реалізувати у Банку Кредитний реєстр НБУ 2.0; перше подання у жовтні було успішним, як і подальші подання</w:t>
      </w:r>
    </w:p>
    <w:p w14:paraId="71324DBF"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забезпечити належне виконання регуляторних вимог, належний фінансовий моніторинг та дотримання законодавства</w:t>
      </w:r>
    </w:p>
    <w:p w14:paraId="31DD7DFE"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інтегрувати в процеси Банку нові вимоги до регулятивного капіталу, вимоги ICAAP та ILAAP, оновлені функції Плану відновлення діяльності</w:t>
      </w:r>
    </w:p>
    <w:p w14:paraId="19373871"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підготувати та подати до НБУ пакет звітності ICAAP та оновити внутрішні процеси відповідно до додаткових роз'яснень НБУ для банківської системи та Банку в цілому</w:t>
      </w:r>
    </w:p>
    <w:p w14:paraId="767CFF3E"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підвищити операційну ефективність Банку та знизити показник CIR;</w:t>
      </w:r>
    </w:p>
    <w:p w14:paraId="3458F691" w14:textId="77777777" w:rsidR="008F47C0" w:rsidRPr="004229C1" w:rsidRDefault="008F47C0" w:rsidP="002B4288">
      <w:pPr>
        <w:pStyle w:val="ListParagraph"/>
        <w:numPr>
          <w:ilvl w:val="0"/>
          <w:numId w:val="16"/>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забезпечити безперебійну роботу мережі відділень шляхом додаткової закупівлі та встановлення інверторів на випадок довготривалих відключень електроенергії.</w:t>
      </w:r>
    </w:p>
    <w:p w14:paraId="53F7FB0E" w14:textId="77777777" w:rsidR="008F47C0" w:rsidRPr="004229C1" w:rsidRDefault="008F47C0" w:rsidP="002B4288">
      <w:p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Протягом звітного року Правління Банку вживало всіх заходів для виконання, зокрема, плану роботи, визначеного на період 2024 року, </w:t>
      </w:r>
    </w:p>
    <w:p w14:paraId="6B6734E1" w14:textId="77777777" w:rsidR="008F47C0" w:rsidRPr="004229C1" w:rsidRDefault="008F47C0" w:rsidP="002B4288">
      <w:pPr>
        <w:pStyle w:val="ListParagraph"/>
        <w:numPr>
          <w:ilvl w:val="0"/>
          <w:numId w:val="17"/>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Засідання КЕСУ були належним чином скликані, коли виникала така потреба, враховуючи воєнний період. З призначенням Першого Заступника Голови Правління - пана </w:t>
      </w:r>
      <w:proofErr w:type="spellStart"/>
      <w:r w:rsidRPr="004229C1">
        <w:rPr>
          <w:rFonts w:ascii="Times New Roman" w:eastAsia="Calibri" w:hAnsi="Times New Roman" w:cs="Times New Roman"/>
          <w:lang w:val="uk-UA"/>
        </w:rPr>
        <w:t>Андреа</w:t>
      </w:r>
      <w:proofErr w:type="spellEnd"/>
      <w:r w:rsidRPr="004229C1">
        <w:rPr>
          <w:rFonts w:ascii="Times New Roman" w:eastAsia="Calibri" w:hAnsi="Times New Roman" w:cs="Times New Roman"/>
          <w:lang w:val="uk-UA"/>
        </w:rPr>
        <w:t xml:space="preserve"> Де </w:t>
      </w:r>
      <w:proofErr w:type="spellStart"/>
      <w:r w:rsidRPr="004229C1">
        <w:rPr>
          <w:rFonts w:ascii="Times New Roman" w:eastAsia="Calibri" w:hAnsi="Times New Roman" w:cs="Times New Roman"/>
          <w:lang w:val="uk-UA"/>
        </w:rPr>
        <w:t>Мікеліса</w:t>
      </w:r>
      <w:proofErr w:type="spellEnd"/>
      <w:r w:rsidRPr="004229C1">
        <w:rPr>
          <w:rFonts w:ascii="Times New Roman" w:eastAsia="Calibri" w:hAnsi="Times New Roman" w:cs="Times New Roman"/>
          <w:lang w:val="uk-UA"/>
        </w:rPr>
        <w:t xml:space="preserve">, який виконує роль ESG менеджера, було прийнято рішення скликати засідання ESGC один раз на місяць одразу після засідання КУЗ з огляду на їх взаємозв'язок. </w:t>
      </w:r>
    </w:p>
    <w:p w14:paraId="7164920C" w14:textId="77777777" w:rsidR="008F47C0" w:rsidRPr="004229C1" w:rsidRDefault="008F47C0" w:rsidP="002B4288">
      <w:pPr>
        <w:pStyle w:val="ListParagraph"/>
        <w:numPr>
          <w:ilvl w:val="0"/>
          <w:numId w:val="17"/>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Вивчення можливості використання хмарної платформи Microsoft для зберігання матеріалів засідань було призупинено з огляду на інші пріоритети та бюджетні обмеження. </w:t>
      </w:r>
    </w:p>
    <w:p w14:paraId="3A43CF5F" w14:textId="77777777" w:rsidR="008F47C0" w:rsidRPr="004229C1" w:rsidRDefault="008F47C0" w:rsidP="002B4288">
      <w:pPr>
        <w:pStyle w:val="ListParagraph"/>
        <w:numPr>
          <w:ilvl w:val="0"/>
          <w:numId w:val="17"/>
        </w:numPr>
        <w:tabs>
          <w:tab w:val="left" w:pos="2395"/>
        </w:tabs>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Оновлення Стратегії та Бізнес-плану Банку було відкладено на 2025 рік, проте основні цілі на 2024 рік були належним чином реалізовані – робота в напрямку прибутковості, оптимізація витрат та підвищення операційної ефективності. </w:t>
      </w:r>
    </w:p>
    <w:p w14:paraId="358B7E4E" w14:textId="77777777" w:rsidR="008F47C0" w:rsidRPr="004229C1" w:rsidRDefault="008F47C0" w:rsidP="002B4288">
      <w:pPr>
        <w:tabs>
          <w:tab w:val="left" w:pos="2395"/>
        </w:tabs>
        <w:spacing w:after="0" w:line="240" w:lineRule="auto"/>
        <w:jc w:val="both"/>
        <w:rPr>
          <w:rFonts w:ascii="Times New Roman" w:eastAsia="Calibri" w:hAnsi="Times New Roman" w:cs="Times New Roman"/>
          <w:bCs/>
          <w:lang w:val="uk-UA"/>
        </w:rPr>
      </w:pPr>
      <w:r w:rsidRPr="004229C1">
        <w:rPr>
          <w:rFonts w:ascii="Times New Roman" w:eastAsia="Calibri" w:hAnsi="Times New Roman" w:cs="Times New Roman"/>
          <w:bCs/>
          <w:lang w:val="uk-UA"/>
        </w:rPr>
        <w:t>Щодо інформації про те, яким чином діяльність Правління Банку зумовила зміни у фінансово- господарській діяльності Банку:</w:t>
      </w:r>
    </w:p>
    <w:p w14:paraId="1E05F70B" w14:textId="77777777" w:rsidR="008F47C0" w:rsidRPr="004229C1" w:rsidRDefault="008F47C0" w:rsidP="002B4288">
      <w:pPr>
        <w:pStyle w:val="ListParagraph"/>
        <w:widowControl w:val="0"/>
        <w:numPr>
          <w:ilvl w:val="0"/>
          <w:numId w:val="18"/>
        </w:numPr>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Протягом 2024 року Правління Банку приділяло особливу увагу критичності дотримання регулятивних/пруденційних показників, здійснивши збільшення капіталу за рахунок власних коштів Акціонера на суму 26 млн євро та повністю дотримуючись нормативу адекватності регулятивного капіталу на кінець 2024 року навіть після впровадження нових вимог до регулятивного капіталу (станом на 31 грудня 2024 року коефіцієнт адекватності регулятивного капіталу становить 38,80% при ліміті &gt; 8,5% і є вищим за вимоги Оцінки стійкості, яка вимагала досягнення рівня 33,7% станом на 30 вересня 2024 року; станом на 31 грудня 2023 року коефіцієнт адекватності регулятивного капіталу становив 18,47% при ліміті &gt; 10%)</w:t>
      </w:r>
    </w:p>
    <w:p w14:paraId="65E318AA" w14:textId="77777777" w:rsidR="008F47C0" w:rsidRPr="004229C1" w:rsidRDefault="008F47C0" w:rsidP="002B4288">
      <w:pPr>
        <w:pStyle w:val="ListParagraph"/>
        <w:widowControl w:val="0"/>
        <w:numPr>
          <w:ilvl w:val="0"/>
          <w:numId w:val="18"/>
        </w:numPr>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Крім того, основна увага приділялася підвищенню операційної ефективності Банку шляхом скорочення та оптимізації операційних та адміністративних витрат, у тому числі шляхом перегляду структури витрат відповідно до поточних потреб Банку через встановлення 80% ліміту на витрати структурних підрозділів та успішного впровадження оптимізаційних ініціатив. Як результат, загальні операційні витрати були нижчими за бюджет на -56 млн грн або 6%, у тому числі ефект від впроваджених ініціатив з оптимізації витрат склав 13 млн грн.</w:t>
      </w:r>
    </w:p>
    <w:p w14:paraId="54363063" w14:textId="77777777" w:rsidR="008F47C0" w:rsidRPr="004229C1" w:rsidRDefault="008F47C0" w:rsidP="002B4288">
      <w:pPr>
        <w:pStyle w:val="ListParagraph"/>
        <w:widowControl w:val="0"/>
        <w:numPr>
          <w:ilvl w:val="0"/>
          <w:numId w:val="18"/>
        </w:numPr>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Крім того, належну увагу було приділено якості портфеля шляхом успішної реструктуризації непрацюючих кредитів, зокрема, двох основних непрацюючих кредитів, в результаті чого було врегульовано реструктуризацію непрацюючих кредитів на суму 278 млн грн в еквіваленті, процентну ставку було підвищено на 0,75 відсоткових пунктів, а також вже отримано погашення 0,6 млн доларів США за 2024 рік.</w:t>
      </w:r>
    </w:p>
    <w:p w14:paraId="3DEB1EC1" w14:textId="77777777" w:rsidR="008F47C0" w:rsidRPr="004229C1" w:rsidRDefault="008F47C0" w:rsidP="002B4288">
      <w:pPr>
        <w:pStyle w:val="ListParagraph"/>
        <w:widowControl w:val="0"/>
        <w:numPr>
          <w:ilvl w:val="0"/>
          <w:numId w:val="18"/>
        </w:numPr>
        <w:autoSpaceDE w:val="0"/>
        <w:autoSpaceDN w:val="0"/>
        <w:adjustRightInd w:val="0"/>
        <w:spacing w:after="0" w:line="240" w:lineRule="auto"/>
        <w:jc w:val="both"/>
        <w:rPr>
          <w:rFonts w:ascii="Times New Roman" w:eastAsia="Calibri" w:hAnsi="Times New Roman" w:cs="Times New Roman"/>
          <w:b/>
          <w:lang w:val="uk-UA"/>
        </w:rPr>
      </w:pPr>
      <w:r w:rsidRPr="004229C1">
        <w:rPr>
          <w:rFonts w:ascii="Times New Roman" w:eastAsia="Calibri" w:hAnsi="Times New Roman" w:cs="Times New Roman"/>
          <w:lang w:val="uk-UA"/>
        </w:rPr>
        <w:t xml:space="preserve">Також, відбулося значне збільшення інвестицій в державні облігації, номіновані в національній валюті - портфель ОВДП збільшився з 200 млн грн до 2,2 млрд грн протягом 2024 року. Також відчутно зросли інвестиції в цінні папери іноземних емітентів - портфель казначейських інструментів, випущених урядом США, збільшився з 10 млн доларів США до 30 млн доларів США. Завдяки цьому дохідність активів зросла приблизно на 100-150 </w:t>
      </w:r>
      <w:proofErr w:type="spellStart"/>
      <w:r w:rsidRPr="004229C1">
        <w:rPr>
          <w:rFonts w:ascii="Times New Roman" w:eastAsia="Calibri" w:hAnsi="Times New Roman" w:cs="Times New Roman"/>
          <w:lang w:val="uk-UA"/>
        </w:rPr>
        <w:t>б.п</w:t>
      </w:r>
      <w:proofErr w:type="spellEnd"/>
      <w:r w:rsidRPr="004229C1">
        <w:rPr>
          <w:rFonts w:ascii="Times New Roman" w:eastAsia="Calibri" w:hAnsi="Times New Roman" w:cs="Times New Roman"/>
          <w:lang w:val="uk-UA"/>
        </w:rPr>
        <w:t xml:space="preserve">. у національній валюті та на 20-50 </w:t>
      </w:r>
      <w:proofErr w:type="spellStart"/>
      <w:r w:rsidRPr="004229C1">
        <w:rPr>
          <w:rFonts w:ascii="Times New Roman" w:eastAsia="Calibri" w:hAnsi="Times New Roman" w:cs="Times New Roman"/>
          <w:lang w:val="uk-UA"/>
        </w:rPr>
        <w:t>б.п</w:t>
      </w:r>
      <w:proofErr w:type="spellEnd"/>
      <w:r w:rsidRPr="004229C1">
        <w:rPr>
          <w:rFonts w:ascii="Times New Roman" w:eastAsia="Calibri" w:hAnsi="Times New Roman" w:cs="Times New Roman"/>
          <w:lang w:val="uk-UA"/>
        </w:rPr>
        <w:t>. у валюті.</w:t>
      </w:r>
    </w:p>
    <w:p w14:paraId="0007B553" w14:textId="67217436" w:rsidR="008F47C0" w:rsidRPr="004229C1" w:rsidRDefault="008F47C0" w:rsidP="002B4288">
      <w:pPr>
        <w:widowControl w:val="0"/>
        <w:autoSpaceDE w:val="0"/>
        <w:autoSpaceDN w:val="0"/>
        <w:adjustRightInd w:val="0"/>
        <w:spacing w:after="0" w:line="240" w:lineRule="auto"/>
        <w:jc w:val="both"/>
        <w:rPr>
          <w:rFonts w:ascii="Times New Roman" w:eastAsia="Calibri" w:hAnsi="Times New Roman" w:cs="Times New Roman"/>
          <w:b/>
          <w:sz w:val="20"/>
          <w:szCs w:val="20"/>
          <w:lang w:val="uk-UA"/>
        </w:rPr>
      </w:pPr>
      <w:r w:rsidRPr="004229C1">
        <w:rPr>
          <w:rFonts w:ascii="Times New Roman" w:eastAsia="Calibri" w:hAnsi="Times New Roman" w:cs="Times New Roman"/>
          <w:lang w:val="uk-UA"/>
        </w:rPr>
        <w:t xml:space="preserve">Детальна інформація щодо Звіту Правління за 2024 рік розміщена на власному веб-сайті Банку за посиланням: </w:t>
      </w:r>
      <w:hyperlink r:id="rId34" w:history="1">
        <w:r w:rsidRPr="004229C1">
          <w:rPr>
            <w:rStyle w:val="Hyperlink"/>
            <w:rFonts w:ascii="Times New Roman" w:hAnsi="Times New Roman" w:cs="Times New Roman"/>
            <w:lang w:val="uk-UA"/>
          </w:rPr>
          <w:t>https://www.pravex.com.ua/storage/files/zvit-pravlinnya-2024.rar</w:t>
        </w:r>
      </w:hyperlink>
      <w:r w:rsidRPr="004229C1">
        <w:rPr>
          <w:rFonts w:ascii="Times New Roman" w:hAnsi="Times New Roman" w:cs="Times New Roman"/>
          <w:lang w:val="uk-UA"/>
        </w:rPr>
        <w:t xml:space="preserve"> </w:t>
      </w:r>
    </w:p>
    <w:p w14:paraId="3F6024AE" w14:textId="097434B4" w:rsidR="007469BF" w:rsidRPr="004229C1" w:rsidRDefault="00D25FDD" w:rsidP="008F47C0">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 </w:t>
      </w:r>
    </w:p>
    <w:p w14:paraId="666C0ED6"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b/>
          <w:bCs/>
          <w:kern w:val="0"/>
          <w:lang w:val="uk-UA"/>
        </w:rPr>
        <w:t>Частина 6. Інформація про корпоративного секретаря, а також звіт щодо результатів його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8F47C0" w:rsidRPr="004229C1" w14:paraId="0FAC0E2B" w14:textId="77777777">
        <w:trPr>
          <w:trHeight w:val="200"/>
        </w:trPr>
        <w:tc>
          <w:tcPr>
            <w:tcW w:w="3500" w:type="dxa"/>
            <w:tcBorders>
              <w:top w:val="single" w:sz="6" w:space="0" w:color="auto"/>
              <w:bottom w:val="single" w:sz="6" w:space="0" w:color="auto"/>
              <w:right w:val="single" w:sz="6" w:space="0" w:color="auto"/>
            </w:tcBorders>
          </w:tcPr>
          <w:p w14:paraId="5A820999" w14:textId="61638069"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Ім’я</w:t>
            </w:r>
          </w:p>
        </w:tc>
        <w:tc>
          <w:tcPr>
            <w:tcW w:w="6500" w:type="dxa"/>
            <w:tcBorders>
              <w:top w:val="single" w:sz="6" w:space="0" w:color="auto"/>
              <w:left w:val="single" w:sz="6" w:space="0" w:color="auto"/>
              <w:bottom w:val="single" w:sz="6" w:space="0" w:color="auto"/>
            </w:tcBorders>
          </w:tcPr>
          <w:p w14:paraId="21A53B73" w14:textId="77777777" w:rsidR="008F47C0" w:rsidRPr="004229C1" w:rsidRDefault="008F47C0" w:rsidP="008F47C0">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Дмитрієва Анастасія Олександрівна до 31 січня 2024 року</w:t>
            </w:r>
          </w:p>
          <w:p w14:paraId="49B714F6" w14:textId="5AE67B19"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Федорова Дар´я Анатоліївна, з 01 березня 2024 року</w:t>
            </w:r>
          </w:p>
        </w:tc>
      </w:tr>
      <w:tr w:rsidR="008F47C0" w:rsidRPr="004229C1" w14:paraId="4BE4CEEF" w14:textId="77777777">
        <w:trPr>
          <w:trHeight w:val="200"/>
        </w:trPr>
        <w:tc>
          <w:tcPr>
            <w:tcW w:w="3500" w:type="dxa"/>
            <w:tcBorders>
              <w:top w:val="single" w:sz="6" w:space="0" w:color="auto"/>
              <w:bottom w:val="single" w:sz="6" w:space="0" w:color="auto"/>
              <w:right w:val="single" w:sz="6" w:space="0" w:color="auto"/>
            </w:tcBorders>
          </w:tcPr>
          <w:p w14:paraId="56A83135" w14:textId="37AECAD1"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Документи,</w:t>
            </w:r>
            <w:r w:rsidRPr="004229C1">
              <w:rPr>
                <w:rFonts w:ascii="Times New Roman" w:eastAsia="Times New Roman" w:hAnsi="Times New Roman" w:cs="Times New Roman"/>
                <w:sz w:val="22"/>
                <w:szCs w:val="22"/>
                <w:lang w:val="uk-UA"/>
              </w:rPr>
              <w:tab/>
              <w:t xml:space="preserve">які регулюють діяльність </w:t>
            </w:r>
            <w:r w:rsidRPr="004229C1">
              <w:rPr>
                <w:rFonts w:ascii="Times New Roman" w:eastAsia="Times New Roman" w:hAnsi="Times New Roman" w:cs="Times New Roman"/>
                <w:spacing w:val="-1"/>
                <w:sz w:val="22"/>
                <w:szCs w:val="22"/>
                <w:lang w:val="uk-UA"/>
              </w:rPr>
              <w:t>корпоративного</w:t>
            </w:r>
            <w:r w:rsidRPr="004229C1">
              <w:rPr>
                <w:rFonts w:ascii="Times New Roman" w:eastAsia="Times New Roman" w:hAnsi="Times New Roman" w:cs="Times New Roman"/>
                <w:spacing w:val="-47"/>
                <w:sz w:val="22"/>
                <w:szCs w:val="22"/>
                <w:lang w:val="uk-UA"/>
              </w:rPr>
              <w:t xml:space="preserve"> </w:t>
            </w:r>
            <w:r w:rsidRPr="004229C1">
              <w:rPr>
                <w:rFonts w:ascii="Times New Roman" w:eastAsia="Times New Roman" w:hAnsi="Times New Roman" w:cs="Times New Roman"/>
                <w:sz w:val="22"/>
                <w:szCs w:val="22"/>
                <w:lang w:val="uk-UA"/>
              </w:rPr>
              <w:t>секретаря</w:t>
            </w:r>
          </w:p>
        </w:tc>
        <w:tc>
          <w:tcPr>
            <w:tcW w:w="6500" w:type="dxa"/>
            <w:tcBorders>
              <w:top w:val="single" w:sz="6" w:space="0" w:color="auto"/>
              <w:left w:val="single" w:sz="6" w:space="0" w:color="auto"/>
              <w:bottom w:val="single" w:sz="6" w:space="0" w:color="auto"/>
            </w:tcBorders>
          </w:tcPr>
          <w:p w14:paraId="0D7490D4" w14:textId="47A778EF"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 xml:space="preserve">Статут Банку, Положення про Наглядову Раду, Положення про корпоративного секретаря, посадова інструкція </w:t>
            </w:r>
          </w:p>
        </w:tc>
      </w:tr>
      <w:tr w:rsidR="008F47C0" w:rsidRPr="004229C1" w14:paraId="51C48780" w14:textId="77777777">
        <w:trPr>
          <w:trHeight w:val="200"/>
        </w:trPr>
        <w:tc>
          <w:tcPr>
            <w:tcW w:w="3500" w:type="dxa"/>
            <w:tcBorders>
              <w:top w:val="single" w:sz="6" w:space="0" w:color="auto"/>
              <w:bottom w:val="single" w:sz="6" w:space="0" w:color="auto"/>
              <w:right w:val="single" w:sz="6" w:space="0" w:color="auto"/>
            </w:tcBorders>
          </w:tcPr>
          <w:p w14:paraId="23E39053" w14:textId="24D19229"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Орган</w:t>
            </w:r>
            <w:r w:rsidRPr="004229C1">
              <w:rPr>
                <w:rFonts w:ascii="Times New Roman" w:eastAsia="Times New Roman" w:hAnsi="Times New Roman" w:cs="Times New Roman"/>
                <w:spacing w:val="42"/>
                <w:sz w:val="22"/>
                <w:szCs w:val="22"/>
                <w:lang w:val="uk-UA"/>
              </w:rPr>
              <w:t xml:space="preserve"> </w:t>
            </w:r>
            <w:r w:rsidRPr="004229C1">
              <w:rPr>
                <w:rFonts w:ascii="Times New Roman" w:eastAsia="Times New Roman" w:hAnsi="Times New Roman" w:cs="Times New Roman"/>
                <w:sz w:val="22"/>
                <w:szCs w:val="22"/>
                <w:lang w:val="uk-UA"/>
              </w:rPr>
              <w:t>управління,</w:t>
            </w:r>
            <w:r w:rsidRPr="004229C1">
              <w:rPr>
                <w:rFonts w:ascii="Times New Roman" w:eastAsia="Times New Roman" w:hAnsi="Times New Roman" w:cs="Times New Roman"/>
                <w:spacing w:val="42"/>
                <w:sz w:val="22"/>
                <w:szCs w:val="22"/>
                <w:lang w:val="uk-UA"/>
              </w:rPr>
              <w:t xml:space="preserve"> </w:t>
            </w:r>
            <w:r w:rsidRPr="004229C1">
              <w:rPr>
                <w:rFonts w:ascii="Times New Roman" w:eastAsia="Times New Roman" w:hAnsi="Times New Roman" w:cs="Times New Roman"/>
                <w:sz w:val="22"/>
                <w:szCs w:val="22"/>
                <w:lang w:val="uk-UA"/>
              </w:rPr>
              <w:t>який</w:t>
            </w:r>
            <w:r w:rsidRPr="004229C1">
              <w:rPr>
                <w:rFonts w:ascii="Times New Roman" w:eastAsia="Times New Roman" w:hAnsi="Times New Roman" w:cs="Times New Roman"/>
                <w:spacing w:val="42"/>
                <w:sz w:val="22"/>
                <w:szCs w:val="22"/>
                <w:lang w:val="uk-UA"/>
              </w:rPr>
              <w:t xml:space="preserve"> </w:t>
            </w:r>
            <w:r w:rsidRPr="004229C1">
              <w:rPr>
                <w:rFonts w:ascii="Times New Roman" w:eastAsia="Times New Roman" w:hAnsi="Times New Roman" w:cs="Times New Roman"/>
                <w:sz w:val="22"/>
                <w:szCs w:val="22"/>
                <w:lang w:val="uk-UA"/>
              </w:rPr>
              <w:t>прийняв</w:t>
            </w:r>
            <w:r w:rsidRPr="004229C1">
              <w:rPr>
                <w:rFonts w:ascii="Times New Roman" w:eastAsia="Times New Roman" w:hAnsi="Times New Roman" w:cs="Times New Roman"/>
                <w:spacing w:val="41"/>
                <w:sz w:val="22"/>
                <w:szCs w:val="22"/>
                <w:lang w:val="uk-UA"/>
              </w:rPr>
              <w:t xml:space="preserve"> </w:t>
            </w:r>
            <w:r w:rsidRPr="004229C1">
              <w:rPr>
                <w:rFonts w:ascii="Times New Roman" w:eastAsia="Times New Roman" w:hAnsi="Times New Roman" w:cs="Times New Roman"/>
                <w:sz w:val="22"/>
                <w:szCs w:val="22"/>
                <w:lang w:val="uk-UA"/>
              </w:rPr>
              <w:t>рішення</w:t>
            </w:r>
            <w:r w:rsidRPr="004229C1">
              <w:rPr>
                <w:rFonts w:ascii="Times New Roman" w:eastAsia="Times New Roman" w:hAnsi="Times New Roman" w:cs="Times New Roman"/>
                <w:spacing w:val="43"/>
                <w:sz w:val="22"/>
                <w:szCs w:val="22"/>
                <w:lang w:val="uk-UA"/>
              </w:rPr>
              <w:t xml:space="preserve"> </w:t>
            </w:r>
            <w:r w:rsidRPr="004229C1">
              <w:rPr>
                <w:rFonts w:ascii="Times New Roman" w:eastAsia="Times New Roman" w:hAnsi="Times New Roman" w:cs="Times New Roman"/>
                <w:sz w:val="22"/>
                <w:szCs w:val="22"/>
                <w:lang w:val="uk-UA"/>
              </w:rPr>
              <w:t>про</w:t>
            </w:r>
            <w:r w:rsidRPr="004229C1">
              <w:rPr>
                <w:rFonts w:ascii="Times New Roman" w:eastAsia="Times New Roman" w:hAnsi="Times New Roman" w:cs="Times New Roman"/>
                <w:spacing w:val="42"/>
                <w:sz w:val="22"/>
                <w:szCs w:val="22"/>
                <w:lang w:val="uk-UA"/>
              </w:rPr>
              <w:t xml:space="preserve"> </w:t>
            </w:r>
            <w:r w:rsidRPr="004229C1">
              <w:rPr>
                <w:rFonts w:ascii="Times New Roman" w:eastAsia="Times New Roman" w:hAnsi="Times New Roman" w:cs="Times New Roman"/>
                <w:sz w:val="22"/>
                <w:szCs w:val="22"/>
                <w:lang w:val="uk-UA"/>
              </w:rPr>
              <w:t>призначення</w:t>
            </w:r>
            <w:r w:rsidRPr="004229C1">
              <w:rPr>
                <w:rFonts w:ascii="Times New Roman" w:eastAsia="Times New Roman" w:hAnsi="Times New Roman" w:cs="Times New Roman"/>
                <w:spacing w:val="-47"/>
                <w:sz w:val="22"/>
                <w:szCs w:val="22"/>
                <w:lang w:val="uk-UA"/>
              </w:rPr>
              <w:t xml:space="preserve"> </w:t>
            </w:r>
            <w:r w:rsidRPr="004229C1">
              <w:rPr>
                <w:rFonts w:ascii="Times New Roman" w:eastAsia="Times New Roman" w:hAnsi="Times New Roman" w:cs="Times New Roman"/>
                <w:sz w:val="22"/>
                <w:szCs w:val="22"/>
                <w:lang w:val="uk-UA"/>
              </w:rPr>
              <w:t>корпоративного секретаря</w:t>
            </w:r>
          </w:p>
        </w:tc>
        <w:tc>
          <w:tcPr>
            <w:tcW w:w="6500" w:type="dxa"/>
            <w:tcBorders>
              <w:top w:val="single" w:sz="6" w:space="0" w:color="auto"/>
              <w:left w:val="single" w:sz="6" w:space="0" w:color="auto"/>
              <w:bottom w:val="single" w:sz="6" w:space="0" w:color="auto"/>
            </w:tcBorders>
          </w:tcPr>
          <w:p w14:paraId="6C249066" w14:textId="16E10823"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Наглядова Рада</w:t>
            </w:r>
          </w:p>
        </w:tc>
      </w:tr>
      <w:tr w:rsidR="008F47C0" w:rsidRPr="004229C1" w14:paraId="3F0C5DC4" w14:textId="77777777">
        <w:trPr>
          <w:trHeight w:val="200"/>
        </w:trPr>
        <w:tc>
          <w:tcPr>
            <w:tcW w:w="3500" w:type="dxa"/>
            <w:tcBorders>
              <w:top w:val="single" w:sz="6" w:space="0" w:color="auto"/>
              <w:bottom w:val="single" w:sz="6" w:space="0" w:color="auto"/>
              <w:right w:val="single" w:sz="6" w:space="0" w:color="auto"/>
            </w:tcBorders>
          </w:tcPr>
          <w:p w14:paraId="7B8F0972" w14:textId="2E07E55C"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Дата</w:t>
            </w:r>
            <w:r w:rsidRPr="004229C1">
              <w:rPr>
                <w:rFonts w:ascii="Times New Roman" w:eastAsia="Times New Roman" w:hAnsi="Times New Roman" w:cs="Times New Roman"/>
                <w:spacing w:val="21"/>
                <w:sz w:val="22"/>
                <w:szCs w:val="22"/>
                <w:lang w:val="uk-UA"/>
              </w:rPr>
              <w:t xml:space="preserve"> </w:t>
            </w:r>
            <w:r w:rsidRPr="004229C1">
              <w:rPr>
                <w:rFonts w:ascii="Times New Roman" w:eastAsia="Times New Roman" w:hAnsi="Times New Roman" w:cs="Times New Roman"/>
                <w:sz w:val="22"/>
                <w:szCs w:val="22"/>
                <w:lang w:val="uk-UA"/>
              </w:rPr>
              <w:t>та</w:t>
            </w:r>
            <w:r w:rsidRPr="004229C1">
              <w:rPr>
                <w:rFonts w:ascii="Times New Roman" w:eastAsia="Times New Roman" w:hAnsi="Times New Roman" w:cs="Times New Roman"/>
                <w:spacing w:val="21"/>
                <w:sz w:val="22"/>
                <w:szCs w:val="22"/>
                <w:lang w:val="uk-UA"/>
              </w:rPr>
              <w:t xml:space="preserve"> </w:t>
            </w:r>
            <w:r w:rsidRPr="004229C1">
              <w:rPr>
                <w:rFonts w:ascii="Times New Roman" w:eastAsia="Times New Roman" w:hAnsi="Times New Roman" w:cs="Times New Roman"/>
                <w:sz w:val="22"/>
                <w:szCs w:val="22"/>
                <w:lang w:val="uk-UA"/>
              </w:rPr>
              <w:t>номер</w:t>
            </w:r>
            <w:r w:rsidRPr="004229C1">
              <w:rPr>
                <w:rFonts w:ascii="Times New Roman" w:eastAsia="Times New Roman" w:hAnsi="Times New Roman" w:cs="Times New Roman"/>
                <w:spacing w:val="23"/>
                <w:sz w:val="22"/>
                <w:szCs w:val="22"/>
                <w:lang w:val="uk-UA"/>
              </w:rPr>
              <w:t xml:space="preserve"> </w:t>
            </w:r>
            <w:r w:rsidRPr="004229C1">
              <w:rPr>
                <w:rFonts w:ascii="Times New Roman" w:eastAsia="Times New Roman" w:hAnsi="Times New Roman" w:cs="Times New Roman"/>
                <w:sz w:val="22"/>
                <w:szCs w:val="22"/>
                <w:lang w:val="uk-UA"/>
              </w:rPr>
              <w:t>рішення</w:t>
            </w:r>
            <w:r w:rsidRPr="004229C1">
              <w:rPr>
                <w:rFonts w:ascii="Times New Roman" w:eastAsia="Times New Roman" w:hAnsi="Times New Roman" w:cs="Times New Roman"/>
                <w:spacing w:val="23"/>
                <w:sz w:val="22"/>
                <w:szCs w:val="22"/>
                <w:lang w:val="uk-UA"/>
              </w:rPr>
              <w:t xml:space="preserve"> </w:t>
            </w:r>
            <w:r w:rsidRPr="004229C1">
              <w:rPr>
                <w:rFonts w:ascii="Times New Roman" w:eastAsia="Times New Roman" w:hAnsi="Times New Roman" w:cs="Times New Roman"/>
                <w:sz w:val="22"/>
                <w:szCs w:val="22"/>
                <w:lang w:val="uk-UA"/>
              </w:rPr>
              <w:t>про</w:t>
            </w:r>
            <w:r w:rsidRPr="004229C1">
              <w:rPr>
                <w:rFonts w:ascii="Times New Roman" w:eastAsia="Times New Roman" w:hAnsi="Times New Roman" w:cs="Times New Roman"/>
                <w:spacing w:val="22"/>
                <w:sz w:val="22"/>
                <w:szCs w:val="22"/>
                <w:lang w:val="uk-UA"/>
              </w:rPr>
              <w:t xml:space="preserve"> </w:t>
            </w:r>
            <w:r w:rsidRPr="004229C1">
              <w:rPr>
                <w:rFonts w:ascii="Times New Roman" w:eastAsia="Times New Roman" w:hAnsi="Times New Roman" w:cs="Times New Roman"/>
                <w:sz w:val="22"/>
                <w:szCs w:val="22"/>
                <w:lang w:val="uk-UA"/>
              </w:rPr>
              <w:t>призначення</w:t>
            </w:r>
            <w:r w:rsidRPr="004229C1">
              <w:rPr>
                <w:rFonts w:ascii="Times New Roman" w:eastAsia="Times New Roman" w:hAnsi="Times New Roman" w:cs="Times New Roman"/>
                <w:spacing w:val="21"/>
                <w:sz w:val="22"/>
                <w:szCs w:val="22"/>
                <w:lang w:val="uk-UA"/>
              </w:rPr>
              <w:t xml:space="preserve"> </w:t>
            </w:r>
            <w:r w:rsidRPr="004229C1">
              <w:rPr>
                <w:rFonts w:ascii="Times New Roman" w:eastAsia="Times New Roman" w:hAnsi="Times New Roman" w:cs="Times New Roman"/>
                <w:sz w:val="22"/>
                <w:szCs w:val="22"/>
                <w:lang w:val="uk-UA"/>
              </w:rPr>
              <w:t>корпоративного</w:t>
            </w:r>
            <w:r w:rsidRPr="004229C1">
              <w:rPr>
                <w:rFonts w:ascii="Times New Roman" w:eastAsia="Times New Roman" w:hAnsi="Times New Roman" w:cs="Times New Roman"/>
                <w:spacing w:val="-47"/>
                <w:sz w:val="22"/>
                <w:szCs w:val="22"/>
                <w:lang w:val="uk-UA"/>
              </w:rPr>
              <w:t xml:space="preserve"> </w:t>
            </w:r>
            <w:r w:rsidRPr="004229C1">
              <w:rPr>
                <w:rFonts w:ascii="Times New Roman" w:eastAsia="Times New Roman" w:hAnsi="Times New Roman" w:cs="Times New Roman"/>
                <w:sz w:val="22"/>
                <w:szCs w:val="22"/>
                <w:lang w:val="uk-UA"/>
              </w:rPr>
              <w:t>секретаря</w:t>
            </w:r>
          </w:p>
        </w:tc>
        <w:tc>
          <w:tcPr>
            <w:tcW w:w="6500" w:type="dxa"/>
            <w:tcBorders>
              <w:top w:val="single" w:sz="6" w:space="0" w:color="auto"/>
              <w:left w:val="single" w:sz="6" w:space="0" w:color="auto"/>
              <w:bottom w:val="single" w:sz="6" w:space="0" w:color="auto"/>
            </w:tcBorders>
          </w:tcPr>
          <w:p w14:paraId="3909593B" w14:textId="77777777" w:rsidR="008F47C0" w:rsidRPr="004229C1" w:rsidRDefault="008F47C0" w:rsidP="008F47C0">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Протокол № 9_21 </w:t>
            </w:r>
            <w:proofErr w:type="spellStart"/>
            <w:r w:rsidRPr="004229C1">
              <w:rPr>
                <w:rFonts w:ascii="Times New Roman" w:eastAsia="Times New Roman" w:hAnsi="Times New Roman" w:cs="Times New Roman"/>
                <w:sz w:val="22"/>
                <w:szCs w:val="22"/>
                <w:lang w:val="uk-UA"/>
              </w:rPr>
              <w:t>вiд</w:t>
            </w:r>
            <w:proofErr w:type="spellEnd"/>
            <w:r w:rsidRPr="004229C1">
              <w:rPr>
                <w:rFonts w:ascii="Times New Roman" w:eastAsia="Times New Roman" w:hAnsi="Times New Roman" w:cs="Times New Roman"/>
                <w:sz w:val="22"/>
                <w:szCs w:val="22"/>
                <w:lang w:val="uk-UA"/>
              </w:rPr>
              <w:t xml:space="preserve"> 29 червня</w:t>
            </w:r>
            <w:r w:rsidRPr="004229C1" w:rsidDel="004B0FC4">
              <w:rPr>
                <w:rFonts w:ascii="Times New Roman" w:eastAsia="Times New Roman" w:hAnsi="Times New Roman" w:cs="Times New Roman"/>
                <w:sz w:val="22"/>
                <w:szCs w:val="22"/>
                <w:lang w:val="uk-UA"/>
              </w:rPr>
              <w:t xml:space="preserve"> </w:t>
            </w:r>
            <w:r w:rsidRPr="004229C1">
              <w:rPr>
                <w:rFonts w:ascii="Times New Roman" w:eastAsia="Times New Roman" w:hAnsi="Times New Roman" w:cs="Times New Roman"/>
                <w:sz w:val="22"/>
                <w:szCs w:val="22"/>
                <w:lang w:val="uk-UA"/>
              </w:rPr>
              <w:t>2021 року, питання 10 порядку денного</w:t>
            </w:r>
          </w:p>
          <w:p w14:paraId="396A5359" w14:textId="36B103E0"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Протокол №5_24 від 01 березня</w:t>
            </w:r>
            <w:r w:rsidRPr="004229C1" w:rsidDel="004B0FC4">
              <w:rPr>
                <w:rFonts w:ascii="Times New Roman" w:eastAsia="Times New Roman" w:hAnsi="Times New Roman" w:cs="Times New Roman"/>
                <w:sz w:val="22"/>
                <w:szCs w:val="22"/>
                <w:lang w:val="uk-UA"/>
              </w:rPr>
              <w:t xml:space="preserve"> </w:t>
            </w:r>
            <w:r w:rsidRPr="004229C1">
              <w:rPr>
                <w:rFonts w:ascii="Times New Roman" w:eastAsia="Times New Roman" w:hAnsi="Times New Roman" w:cs="Times New Roman"/>
                <w:sz w:val="22"/>
                <w:szCs w:val="22"/>
                <w:lang w:val="uk-UA"/>
              </w:rPr>
              <w:t>2024 року, питання 5 порядку денного</w:t>
            </w:r>
          </w:p>
        </w:tc>
      </w:tr>
      <w:tr w:rsidR="008F47C0" w:rsidRPr="004229C1" w14:paraId="4104E14E" w14:textId="77777777">
        <w:trPr>
          <w:trHeight w:val="200"/>
        </w:trPr>
        <w:tc>
          <w:tcPr>
            <w:tcW w:w="3500" w:type="dxa"/>
            <w:tcBorders>
              <w:top w:val="single" w:sz="6" w:space="0" w:color="auto"/>
              <w:bottom w:val="single" w:sz="6" w:space="0" w:color="auto"/>
              <w:right w:val="single" w:sz="6" w:space="0" w:color="auto"/>
            </w:tcBorders>
          </w:tcPr>
          <w:p w14:paraId="5875F946" w14:textId="3BE0EB56"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 xml:space="preserve">Дата та номер рішення про затвердження </w:t>
            </w:r>
            <w:r w:rsidRPr="004229C1">
              <w:rPr>
                <w:rFonts w:ascii="Times New Roman" w:eastAsia="Times New Roman" w:hAnsi="Times New Roman" w:cs="Times New Roman"/>
                <w:spacing w:val="-1"/>
                <w:sz w:val="22"/>
                <w:szCs w:val="22"/>
                <w:lang w:val="uk-UA"/>
              </w:rPr>
              <w:t xml:space="preserve">звіту </w:t>
            </w:r>
            <w:r w:rsidRPr="004229C1">
              <w:rPr>
                <w:rFonts w:ascii="Times New Roman" w:eastAsia="Times New Roman" w:hAnsi="Times New Roman" w:cs="Times New Roman"/>
                <w:sz w:val="22"/>
                <w:szCs w:val="22"/>
                <w:lang w:val="uk-UA"/>
              </w:rPr>
              <w:t>корпоративного секретаря</w:t>
            </w:r>
            <w:r w:rsidRPr="004229C1">
              <w:rPr>
                <w:rFonts w:ascii="Times New Roman" w:eastAsia="Times New Roman" w:hAnsi="Times New Roman" w:cs="Times New Roman"/>
                <w:spacing w:val="-2"/>
                <w:sz w:val="22"/>
                <w:szCs w:val="22"/>
                <w:lang w:val="uk-UA"/>
              </w:rPr>
              <w:t xml:space="preserve"> </w:t>
            </w:r>
            <w:r w:rsidRPr="004229C1">
              <w:rPr>
                <w:rFonts w:ascii="Times New Roman" w:eastAsia="Times New Roman" w:hAnsi="Times New Roman" w:cs="Times New Roman"/>
                <w:sz w:val="22"/>
                <w:szCs w:val="22"/>
                <w:lang w:val="uk-UA"/>
              </w:rPr>
              <w:t>за звітний період</w:t>
            </w:r>
          </w:p>
        </w:tc>
        <w:tc>
          <w:tcPr>
            <w:tcW w:w="6500" w:type="dxa"/>
            <w:tcBorders>
              <w:top w:val="single" w:sz="6" w:space="0" w:color="auto"/>
              <w:left w:val="single" w:sz="6" w:space="0" w:color="auto"/>
              <w:bottom w:val="single" w:sz="6" w:space="0" w:color="auto"/>
            </w:tcBorders>
          </w:tcPr>
          <w:p w14:paraId="40E8E0CD" w14:textId="2805AC0A"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Протокол Наглядової Ради №2_25 від 29 січня 2025 року, питання 26 порядку денного</w:t>
            </w:r>
          </w:p>
        </w:tc>
      </w:tr>
      <w:tr w:rsidR="008F47C0" w:rsidRPr="004229C1" w14:paraId="03D9594A" w14:textId="77777777">
        <w:trPr>
          <w:trHeight w:val="200"/>
        </w:trPr>
        <w:tc>
          <w:tcPr>
            <w:tcW w:w="3500" w:type="dxa"/>
            <w:tcBorders>
              <w:top w:val="single" w:sz="6" w:space="0" w:color="auto"/>
              <w:bottom w:val="single" w:sz="6" w:space="0" w:color="auto"/>
              <w:right w:val="single" w:sz="6" w:space="0" w:color="auto"/>
            </w:tcBorders>
          </w:tcPr>
          <w:p w14:paraId="73443617" w14:textId="7FFB8023"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Основні</w:t>
            </w:r>
            <w:r w:rsidRPr="004229C1">
              <w:rPr>
                <w:rFonts w:ascii="Times New Roman" w:eastAsia="Times New Roman" w:hAnsi="Times New Roman" w:cs="Times New Roman"/>
                <w:spacing w:val="37"/>
                <w:sz w:val="22"/>
                <w:szCs w:val="22"/>
                <w:lang w:val="uk-UA"/>
              </w:rPr>
              <w:t xml:space="preserve"> </w:t>
            </w:r>
            <w:r w:rsidRPr="004229C1">
              <w:rPr>
                <w:rFonts w:ascii="Times New Roman" w:eastAsia="Times New Roman" w:hAnsi="Times New Roman" w:cs="Times New Roman"/>
                <w:sz w:val="22"/>
                <w:szCs w:val="22"/>
                <w:lang w:val="uk-UA"/>
              </w:rPr>
              <w:t>положення</w:t>
            </w:r>
            <w:r w:rsidRPr="004229C1">
              <w:rPr>
                <w:rFonts w:ascii="Times New Roman" w:eastAsia="Times New Roman" w:hAnsi="Times New Roman" w:cs="Times New Roman"/>
                <w:spacing w:val="37"/>
                <w:sz w:val="22"/>
                <w:szCs w:val="22"/>
                <w:lang w:val="uk-UA"/>
              </w:rPr>
              <w:t xml:space="preserve"> </w:t>
            </w:r>
            <w:r w:rsidRPr="004229C1">
              <w:rPr>
                <w:rFonts w:ascii="Times New Roman" w:eastAsia="Times New Roman" w:hAnsi="Times New Roman" w:cs="Times New Roman"/>
                <w:sz w:val="22"/>
                <w:szCs w:val="22"/>
                <w:lang w:val="uk-UA"/>
              </w:rPr>
              <w:t>звіту</w:t>
            </w:r>
            <w:r w:rsidRPr="004229C1">
              <w:rPr>
                <w:rFonts w:ascii="Times New Roman" w:eastAsia="Times New Roman" w:hAnsi="Times New Roman" w:cs="Times New Roman"/>
                <w:spacing w:val="36"/>
                <w:sz w:val="22"/>
                <w:szCs w:val="22"/>
                <w:lang w:val="uk-UA"/>
              </w:rPr>
              <w:t xml:space="preserve"> </w:t>
            </w:r>
            <w:r w:rsidRPr="004229C1">
              <w:rPr>
                <w:rFonts w:ascii="Times New Roman" w:eastAsia="Times New Roman" w:hAnsi="Times New Roman" w:cs="Times New Roman"/>
                <w:sz w:val="22"/>
                <w:szCs w:val="22"/>
                <w:lang w:val="uk-UA"/>
              </w:rPr>
              <w:t>щодо</w:t>
            </w:r>
            <w:r w:rsidRPr="004229C1">
              <w:rPr>
                <w:rFonts w:ascii="Times New Roman" w:eastAsia="Times New Roman" w:hAnsi="Times New Roman" w:cs="Times New Roman"/>
                <w:spacing w:val="35"/>
                <w:sz w:val="22"/>
                <w:szCs w:val="22"/>
                <w:lang w:val="uk-UA"/>
              </w:rPr>
              <w:t xml:space="preserve"> </w:t>
            </w:r>
            <w:r w:rsidRPr="004229C1">
              <w:rPr>
                <w:rFonts w:ascii="Times New Roman" w:eastAsia="Times New Roman" w:hAnsi="Times New Roman" w:cs="Times New Roman"/>
                <w:sz w:val="22"/>
                <w:szCs w:val="22"/>
                <w:lang w:val="uk-UA"/>
              </w:rPr>
              <w:t>результатів</w:t>
            </w:r>
            <w:r w:rsidRPr="004229C1">
              <w:rPr>
                <w:rFonts w:ascii="Times New Roman" w:eastAsia="Times New Roman" w:hAnsi="Times New Roman" w:cs="Times New Roman"/>
                <w:spacing w:val="37"/>
                <w:sz w:val="22"/>
                <w:szCs w:val="22"/>
                <w:lang w:val="uk-UA"/>
              </w:rPr>
              <w:t xml:space="preserve"> </w:t>
            </w:r>
            <w:r w:rsidRPr="004229C1">
              <w:rPr>
                <w:rFonts w:ascii="Times New Roman" w:eastAsia="Times New Roman" w:hAnsi="Times New Roman" w:cs="Times New Roman"/>
                <w:sz w:val="22"/>
                <w:szCs w:val="22"/>
                <w:lang w:val="uk-UA"/>
              </w:rPr>
              <w:t>діяльності</w:t>
            </w:r>
            <w:r w:rsidRPr="004229C1">
              <w:rPr>
                <w:rFonts w:ascii="Times New Roman" w:eastAsia="Times New Roman" w:hAnsi="Times New Roman" w:cs="Times New Roman"/>
                <w:spacing w:val="-47"/>
                <w:sz w:val="22"/>
                <w:szCs w:val="22"/>
                <w:lang w:val="uk-UA"/>
              </w:rPr>
              <w:t xml:space="preserve"> </w:t>
            </w:r>
            <w:r w:rsidRPr="004229C1">
              <w:rPr>
                <w:rFonts w:ascii="Times New Roman" w:eastAsia="Times New Roman" w:hAnsi="Times New Roman" w:cs="Times New Roman"/>
                <w:sz w:val="22"/>
                <w:szCs w:val="22"/>
                <w:lang w:val="uk-UA"/>
              </w:rPr>
              <w:t>корпоративного секретаря</w:t>
            </w:r>
            <w:r w:rsidRPr="004229C1">
              <w:rPr>
                <w:rFonts w:ascii="Times New Roman" w:eastAsia="Times New Roman" w:hAnsi="Times New Roman" w:cs="Times New Roman"/>
                <w:spacing w:val="-2"/>
                <w:sz w:val="22"/>
                <w:szCs w:val="22"/>
                <w:lang w:val="uk-UA"/>
              </w:rPr>
              <w:t xml:space="preserve"> </w:t>
            </w:r>
            <w:r w:rsidRPr="004229C1">
              <w:rPr>
                <w:rFonts w:ascii="Times New Roman" w:eastAsia="Times New Roman" w:hAnsi="Times New Roman" w:cs="Times New Roman"/>
                <w:sz w:val="22"/>
                <w:szCs w:val="22"/>
                <w:lang w:val="uk-UA"/>
              </w:rPr>
              <w:t>за завітний період</w:t>
            </w:r>
          </w:p>
        </w:tc>
        <w:tc>
          <w:tcPr>
            <w:tcW w:w="6500" w:type="dxa"/>
            <w:tcBorders>
              <w:top w:val="single" w:sz="6" w:space="0" w:color="auto"/>
              <w:left w:val="single" w:sz="6" w:space="0" w:color="auto"/>
              <w:bottom w:val="single" w:sz="6" w:space="0" w:color="auto"/>
            </w:tcBorders>
          </w:tcPr>
          <w:p w14:paraId="4D66ECDD" w14:textId="77777777" w:rsidR="008F47C0" w:rsidRPr="004229C1" w:rsidRDefault="008F47C0" w:rsidP="002B4288">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Протягом звітного періоду корпоративний секретар забезпечував підготовку та проведення Загальних зборів акціонерів, засідань Наглядової Ради, Правління Банку та їх комітетів, здійснюючи управління адміністративною діяльністю підрозділу. </w:t>
            </w:r>
          </w:p>
          <w:p w14:paraId="0099AF7C" w14:textId="77777777" w:rsidR="008F47C0" w:rsidRPr="004229C1" w:rsidRDefault="008F47C0" w:rsidP="002B4288">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В 2024 році було проведено 28 засідань Наглядової Ради, з яких 17 з безпосередньою участю членів Наглядової Ради, та 11 шляхом письмового голосування; 13 засідань Комітету з питань аудиту, 9 Комітету з управління ризиками, Комітет з винагород і призначень; 38 засідань Правління, з яких 29 з безпосередньою участю членів Правління, та 9 шляхом письмового голосування. </w:t>
            </w:r>
          </w:p>
          <w:p w14:paraId="22EDC951" w14:textId="77777777" w:rsidR="008F47C0" w:rsidRPr="004229C1" w:rsidRDefault="008F47C0" w:rsidP="002B4288">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Корпоративний секретар, протягом звітного періоду здійснював моніторинг статусу виконання та впровадження рішень Наглядової Ради Банку, Комітетів Наглядової Ради Банку та Правління Банку.</w:t>
            </w:r>
          </w:p>
          <w:p w14:paraId="1750F4C8" w14:textId="77777777" w:rsidR="008F47C0" w:rsidRPr="004229C1" w:rsidRDefault="008F47C0" w:rsidP="002B4288">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Корпоративним секретарем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(затверджене рішенням НКЦПФР від 06 червня 2023 року № 2608826) забезпечувалось своєчасне розкриття інформації. Так, забезпечено розкриття регулярної (річної та проміжної) інформації Банку як емітента цінних паперів та особливої інформації щодо зміни складу посадових осіб Банку, затвердження звітів про винагороду членів Наглядової Ради та Правління Банку, відомості про кількість голосуючих акцій та розмір статутного капіталу, Відомості про прийняття рішення про розміщення цінних паперів на суму, що перевищує 25 відсотків статутного капіталу, Відомості про рішення емітента про утворення, припинення його філій, представництв.</w:t>
            </w:r>
          </w:p>
          <w:p w14:paraId="1ADBF882" w14:textId="17CB5F28" w:rsidR="008F47C0" w:rsidRPr="004229C1" w:rsidRDefault="008F47C0" w:rsidP="002B4288">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Корпоративним секретарем разом з директором департаменту юридичної підтримки та генерального секретаріату забезпечено приведення Статуту Банку у відповідність до регуляторних вимог, розробку Положення про корпоративного секретаря, юридичну підтримку здійснення процесу збільшення капіталу Банку, проведення перевірки ділової репутації власника істотної участі та керівників Банку, прийняття рішення про застосування Кодексу корпоративного управління, затвердженого рішенням НКЦПФР.</w:t>
            </w:r>
          </w:p>
        </w:tc>
      </w:tr>
      <w:tr w:rsidR="008F47C0" w:rsidRPr="004229C1" w14:paraId="10F1EF68" w14:textId="77777777">
        <w:trPr>
          <w:trHeight w:val="200"/>
        </w:trPr>
        <w:tc>
          <w:tcPr>
            <w:tcW w:w="3500" w:type="dxa"/>
            <w:tcBorders>
              <w:top w:val="single" w:sz="6" w:space="0" w:color="auto"/>
              <w:bottom w:val="single" w:sz="6" w:space="0" w:color="auto"/>
              <w:right w:val="single" w:sz="6" w:space="0" w:color="auto"/>
            </w:tcBorders>
          </w:tcPr>
          <w:p w14:paraId="444318FD" w14:textId="702380A5"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Ім’я</w:t>
            </w:r>
          </w:p>
        </w:tc>
        <w:tc>
          <w:tcPr>
            <w:tcW w:w="6500" w:type="dxa"/>
            <w:tcBorders>
              <w:top w:val="single" w:sz="6" w:space="0" w:color="auto"/>
              <w:left w:val="single" w:sz="6" w:space="0" w:color="auto"/>
              <w:bottom w:val="single" w:sz="6" w:space="0" w:color="auto"/>
            </w:tcBorders>
          </w:tcPr>
          <w:p w14:paraId="50C885F3" w14:textId="77777777" w:rsidR="008F47C0" w:rsidRPr="004229C1" w:rsidRDefault="008F47C0" w:rsidP="008F47C0">
            <w:pPr>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Дмитрієва Анастасія Олександрівна до 31 січня 2024 року</w:t>
            </w:r>
          </w:p>
          <w:p w14:paraId="5D228916" w14:textId="37C7980A"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Федорова Дар´я Анатоліївна, з 01 березня 2024 року</w:t>
            </w:r>
          </w:p>
        </w:tc>
      </w:tr>
      <w:tr w:rsidR="008F47C0" w:rsidRPr="004229C1" w14:paraId="7182EE1F" w14:textId="77777777">
        <w:trPr>
          <w:trHeight w:val="200"/>
        </w:trPr>
        <w:tc>
          <w:tcPr>
            <w:tcW w:w="3500" w:type="dxa"/>
            <w:tcBorders>
              <w:top w:val="single" w:sz="6" w:space="0" w:color="auto"/>
              <w:bottom w:val="single" w:sz="6" w:space="0" w:color="auto"/>
              <w:right w:val="single" w:sz="6" w:space="0" w:color="auto"/>
            </w:tcBorders>
          </w:tcPr>
          <w:p w14:paraId="2C7A172A" w14:textId="1EBBE92B"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Документи,</w:t>
            </w:r>
            <w:r w:rsidRPr="004229C1">
              <w:rPr>
                <w:rFonts w:ascii="Times New Roman" w:eastAsia="Times New Roman" w:hAnsi="Times New Roman" w:cs="Times New Roman"/>
                <w:sz w:val="22"/>
                <w:szCs w:val="22"/>
                <w:lang w:val="uk-UA"/>
              </w:rPr>
              <w:tab/>
              <w:t xml:space="preserve">які регулюють діяльність </w:t>
            </w:r>
            <w:r w:rsidRPr="004229C1">
              <w:rPr>
                <w:rFonts w:ascii="Times New Roman" w:eastAsia="Times New Roman" w:hAnsi="Times New Roman" w:cs="Times New Roman"/>
                <w:spacing w:val="-1"/>
                <w:sz w:val="22"/>
                <w:szCs w:val="22"/>
                <w:lang w:val="uk-UA"/>
              </w:rPr>
              <w:t>корпоративного</w:t>
            </w:r>
            <w:r w:rsidRPr="004229C1">
              <w:rPr>
                <w:rFonts w:ascii="Times New Roman" w:eastAsia="Times New Roman" w:hAnsi="Times New Roman" w:cs="Times New Roman"/>
                <w:spacing w:val="-47"/>
                <w:sz w:val="22"/>
                <w:szCs w:val="22"/>
                <w:lang w:val="uk-UA"/>
              </w:rPr>
              <w:t xml:space="preserve"> </w:t>
            </w:r>
            <w:r w:rsidRPr="004229C1">
              <w:rPr>
                <w:rFonts w:ascii="Times New Roman" w:eastAsia="Times New Roman" w:hAnsi="Times New Roman" w:cs="Times New Roman"/>
                <w:sz w:val="22"/>
                <w:szCs w:val="22"/>
                <w:lang w:val="uk-UA"/>
              </w:rPr>
              <w:t>секретаря</w:t>
            </w:r>
          </w:p>
        </w:tc>
        <w:tc>
          <w:tcPr>
            <w:tcW w:w="6500" w:type="dxa"/>
            <w:tcBorders>
              <w:top w:val="single" w:sz="6" w:space="0" w:color="auto"/>
              <w:left w:val="single" w:sz="6" w:space="0" w:color="auto"/>
              <w:bottom w:val="single" w:sz="6" w:space="0" w:color="auto"/>
            </w:tcBorders>
          </w:tcPr>
          <w:p w14:paraId="4F7C6030" w14:textId="29ECCD18"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sz w:val="22"/>
                <w:szCs w:val="22"/>
                <w:lang w:val="uk-UA"/>
              </w:rPr>
              <w:t xml:space="preserve">Статут Банку, Положення про Наглядову Раду, Положення про корпоративного секретаря, посадова інструкція </w:t>
            </w:r>
          </w:p>
        </w:tc>
      </w:tr>
    </w:tbl>
    <w:p w14:paraId="46F60F8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68BF6A77"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b/>
          <w:bCs/>
          <w:kern w:val="0"/>
          <w:lang w:val="uk-UA"/>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8F47C0" w:rsidRPr="004229C1" w14:paraId="48C7D82E"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126433B2" w14:textId="3B8B2251" w:rsidR="008F47C0" w:rsidRPr="004229C1" w:rsidRDefault="008F47C0" w:rsidP="008F47C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Система внутрішнього контролю передбачає модель трьох ліній захисту Так/Ні</w:t>
            </w:r>
          </w:p>
        </w:tc>
        <w:tc>
          <w:tcPr>
            <w:tcW w:w="6500" w:type="dxa"/>
            <w:tcBorders>
              <w:top w:val="single" w:sz="6" w:space="0" w:color="auto"/>
              <w:left w:val="single" w:sz="6" w:space="0" w:color="auto"/>
              <w:bottom w:val="single" w:sz="6" w:space="0" w:color="auto"/>
            </w:tcBorders>
            <w:vAlign w:val="center"/>
          </w:tcPr>
          <w:p w14:paraId="291FECB0" w14:textId="7D674784" w:rsidR="008F47C0" w:rsidRPr="004229C1" w:rsidRDefault="008F47C0" w:rsidP="008F47C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eastAsia="Calibri" w:hAnsi="Times New Roman" w:cs="Times New Roman"/>
                <w:color w:val="000000"/>
                <w:sz w:val="22"/>
                <w:szCs w:val="22"/>
                <w:lang w:val="uk-UA"/>
              </w:rPr>
              <w:t>Так</w:t>
            </w:r>
            <w:r w:rsidRPr="004229C1">
              <w:rPr>
                <w:rFonts w:ascii="Times New Roman" w:eastAsia="Calibri" w:hAnsi="Times New Roman" w:cs="Times New Roman"/>
                <w:sz w:val="22"/>
                <w:szCs w:val="22"/>
                <w:lang w:val="uk-UA"/>
              </w:rPr>
              <w:t> </w:t>
            </w:r>
          </w:p>
        </w:tc>
      </w:tr>
      <w:tr w:rsidR="008F47C0" w:rsidRPr="004229C1" w14:paraId="4A5DC065"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35BD380D" w14:textId="002AAE5B"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Опис функцій підрозділів першої лінії захисту та перелік ключових підрозділів</w:t>
            </w:r>
          </w:p>
        </w:tc>
        <w:tc>
          <w:tcPr>
            <w:tcW w:w="6500" w:type="dxa"/>
            <w:tcBorders>
              <w:top w:val="single" w:sz="6" w:space="0" w:color="auto"/>
              <w:left w:val="single" w:sz="6" w:space="0" w:color="auto"/>
              <w:bottom w:val="single" w:sz="6" w:space="0" w:color="auto"/>
            </w:tcBorders>
            <w:vAlign w:val="center"/>
          </w:tcPr>
          <w:p w14:paraId="371C0E4F" w14:textId="53B126F5" w:rsidR="008F47C0" w:rsidRPr="004229C1" w:rsidRDefault="008F47C0" w:rsidP="002B4288">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bCs/>
                <w:sz w:val="22"/>
                <w:szCs w:val="22"/>
                <w:lang w:val="uk-UA"/>
              </w:rPr>
              <w:t>Рівень I:</w:t>
            </w:r>
            <w:r w:rsidRPr="004229C1">
              <w:rPr>
                <w:rFonts w:ascii="Times New Roman" w:eastAsia="Calibri" w:hAnsi="Times New Roman" w:cs="Times New Roman"/>
                <w:sz w:val="22"/>
                <w:szCs w:val="22"/>
                <w:lang w:val="uk-UA"/>
              </w:rPr>
              <w:t xml:space="preserve"> лінійний контроль, покликаний забезпечувати коректність виконання операцій (наприклад, ієрархічний, систематичний та вибірковий внутрішній контроль) та, наскільки це можливо, включений до ІТ процедур. Такий контроль здійснюється безпосередньо операційними та бізнес-підрозділами ( «підрозділи I рівня») у тому числі структурними підрозділами, виключне завдання яких контролювати та звітувати відповідальному керівнику, або що виконуються як частина операцій бек-офісу. Основну відповідальність за процес управління ризиками несуть бізнес-підрозділи та підрозділи підтримки діяльності банку; в ході своєї повсякденної роботи такі підрозділи, співпрацюючи з підрозділами ІІ рівня та, у разі необхідності, організаційним підрозділом, повинні визначати, вимірювати або оцінювати, здійснювати моніторинг, контроль та мінімізацію ризиків, а також повідомляти про ризики, що виникають в результаті звичайної операційної діяльності, відповідно до процедури управління ризиками. Вони повинні відповідати операційним обмеженням, що встановлюються з урахуванням цілей ризику та процедур процесу управління ризиками.</w:t>
            </w:r>
          </w:p>
        </w:tc>
      </w:tr>
      <w:tr w:rsidR="008F47C0" w:rsidRPr="004229C1" w14:paraId="1A6A3BAC"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09AAB86A" w14:textId="329B81AD"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Перелік підрозділів та опис функцій підрозділів другої лінії захисту</w:t>
            </w:r>
          </w:p>
        </w:tc>
        <w:tc>
          <w:tcPr>
            <w:tcW w:w="6500" w:type="dxa"/>
            <w:tcBorders>
              <w:top w:val="single" w:sz="6" w:space="0" w:color="auto"/>
              <w:left w:val="single" w:sz="6" w:space="0" w:color="auto"/>
              <w:bottom w:val="single" w:sz="6" w:space="0" w:color="auto"/>
            </w:tcBorders>
            <w:vAlign w:val="center"/>
          </w:tcPr>
          <w:p w14:paraId="03A2E0DB" w14:textId="77777777" w:rsidR="008F47C0" w:rsidRPr="004229C1" w:rsidRDefault="008F47C0" w:rsidP="008F47C0">
            <w:pPr>
              <w:spacing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bCs/>
                <w:sz w:val="22"/>
                <w:szCs w:val="22"/>
                <w:lang w:val="uk-UA"/>
              </w:rPr>
              <w:t>Рівень II:</w:t>
            </w:r>
            <w:r w:rsidRPr="004229C1">
              <w:rPr>
                <w:rFonts w:ascii="Times New Roman" w:eastAsia="Calibri" w:hAnsi="Times New Roman" w:cs="Times New Roman"/>
                <w:sz w:val="22"/>
                <w:szCs w:val="22"/>
                <w:lang w:val="uk-UA"/>
              </w:rPr>
              <w:t xml:space="preserve"> контроль за ризиками та дотриманням вимог з метою забезпечення, зокрема:</w:t>
            </w:r>
          </w:p>
          <w:p w14:paraId="1A98D381" w14:textId="77777777" w:rsidR="008F47C0" w:rsidRPr="004229C1" w:rsidRDefault="008F47C0" w:rsidP="008F47C0">
            <w:pPr>
              <w:numPr>
                <w:ilvl w:val="0"/>
                <w:numId w:val="19"/>
              </w:numPr>
              <w:spacing w:after="0"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належного впровадження процесу управління ризиками;</w:t>
            </w:r>
          </w:p>
          <w:p w14:paraId="73F6BA33" w14:textId="77777777" w:rsidR="008F47C0" w:rsidRPr="004229C1" w:rsidRDefault="008F47C0" w:rsidP="008F47C0">
            <w:pPr>
              <w:numPr>
                <w:ilvl w:val="0"/>
                <w:numId w:val="19"/>
              </w:numPr>
              <w:spacing w:after="0"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дотримання операційних обмежень, встановлених різними підрозділами;</w:t>
            </w:r>
          </w:p>
          <w:p w14:paraId="5B523B86" w14:textId="77777777" w:rsidR="008F47C0" w:rsidRPr="004229C1" w:rsidRDefault="008F47C0" w:rsidP="008F47C0">
            <w:pPr>
              <w:numPr>
                <w:ilvl w:val="0"/>
                <w:numId w:val="19"/>
              </w:numPr>
              <w:spacing w:after="0"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відповідності операцій законам, нормам та внутрішнім політикам, правилам та процедурам.</w:t>
            </w:r>
          </w:p>
          <w:p w14:paraId="7CC26D66" w14:textId="77777777" w:rsidR="008F47C0" w:rsidRPr="004229C1" w:rsidRDefault="008F47C0" w:rsidP="008F47C0">
            <w:pPr>
              <w:numPr>
                <w:ilvl w:val="0"/>
                <w:numId w:val="19"/>
              </w:numPr>
              <w:spacing w:after="0"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впевненості керівників Банку, що заходи з контролю та управління ризиками впроваджені на І рівні захисту були впроваджені та функціонують належним чином. </w:t>
            </w:r>
          </w:p>
          <w:p w14:paraId="49EBED92" w14:textId="77777777" w:rsidR="008F47C0" w:rsidRPr="004229C1" w:rsidRDefault="008F47C0" w:rsidP="008F47C0">
            <w:pPr>
              <w:spacing w:line="240" w:lineRule="auto"/>
              <w:ind w:right="133"/>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Підрозділи, відповідальні за такий контроль, є незалежними від операційних та бізнес-підрозділів та беруть участь у визначенні політики управління ризиками та процесу управління ризиками. Рівень II включає наступні організаційні підрозділи Банку, у разі їх наявності («Контрольні підрозділи II рівня»):</w:t>
            </w:r>
          </w:p>
          <w:p w14:paraId="7B05DC44" w14:textId="77777777" w:rsidR="008F47C0" w:rsidRPr="004229C1" w:rsidRDefault="008F47C0" w:rsidP="008F47C0">
            <w:pPr>
              <w:numPr>
                <w:ilvl w:val="0"/>
                <w:numId w:val="20"/>
              </w:numPr>
              <w:spacing w:after="0" w:line="240" w:lineRule="auto"/>
              <w:ind w:left="850" w:right="133" w:hanging="425"/>
              <w:jc w:val="both"/>
              <w:rPr>
                <w:rFonts w:ascii="Times New Roman" w:eastAsia="Calibri" w:hAnsi="Times New Roman" w:cs="Times New Roman"/>
                <w:b/>
                <w:i/>
                <w:iCs/>
                <w:sz w:val="22"/>
                <w:szCs w:val="22"/>
                <w:lang w:val="uk-UA" w:eastAsia="en-GB"/>
              </w:rPr>
            </w:pPr>
            <w:r w:rsidRPr="004229C1">
              <w:rPr>
                <w:rFonts w:ascii="Times New Roman" w:eastAsia="Calibri" w:hAnsi="Times New Roman" w:cs="Times New Roman"/>
                <w:i/>
                <w:iCs/>
                <w:sz w:val="22"/>
                <w:szCs w:val="22"/>
                <w:lang w:val="uk-UA"/>
              </w:rPr>
              <w:t>департамент комплаєнсу та протидії легалізації доходів, отриманих злочинним шляхом.</w:t>
            </w:r>
          </w:p>
          <w:p w14:paraId="75716630" w14:textId="2AE021ED"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i/>
                <w:iCs/>
                <w:sz w:val="22"/>
                <w:szCs w:val="22"/>
                <w:lang w:val="uk-UA"/>
              </w:rPr>
              <w:t>департамент управління ризиками.</w:t>
            </w:r>
          </w:p>
        </w:tc>
      </w:tr>
      <w:tr w:rsidR="008F47C0" w:rsidRPr="004229C1" w14:paraId="407C0077"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787FEF40" w14:textId="6AADFD72"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Перелік підрозділів та опис функцій підрозділів третьої лінії захисту</w:t>
            </w:r>
          </w:p>
        </w:tc>
        <w:tc>
          <w:tcPr>
            <w:tcW w:w="6500" w:type="dxa"/>
            <w:tcBorders>
              <w:top w:val="single" w:sz="6" w:space="0" w:color="auto"/>
              <w:left w:val="single" w:sz="6" w:space="0" w:color="auto"/>
              <w:bottom w:val="single" w:sz="6" w:space="0" w:color="auto"/>
            </w:tcBorders>
            <w:vAlign w:val="center"/>
          </w:tcPr>
          <w:p w14:paraId="60A3FDF9"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Times New Roman" w:hAnsi="Times New Roman" w:cs="Times New Roman"/>
                <w:sz w:val="22"/>
                <w:szCs w:val="22"/>
                <w:lang w:val="uk-UA"/>
              </w:rPr>
              <w:t> </w:t>
            </w:r>
            <w:r w:rsidRPr="004229C1">
              <w:rPr>
                <w:rFonts w:ascii="Times New Roman" w:eastAsia="Calibri" w:hAnsi="Times New Roman" w:cs="Times New Roman"/>
                <w:bCs/>
                <w:sz w:val="22"/>
                <w:szCs w:val="22"/>
                <w:lang w:val="uk-UA" w:eastAsia="en-GB"/>
              </w:rPr>
              <w:t xml:space="preserve">Рівень III: система внутрішнього аудиту, </w:t>
            </w:r>
            <w:r w:rsidRPr="004229C1">
              <w:rPr>
                <w:rFonts w:ascii="Times New Roman" w:eastAsia="Calibri" w:hAnsi="Times New Roman" w:cs="Times New Roman"/>
                <w:sz w:val="22"/>
                <w:szCs w:val="22"/>
                <w:lang w:val="uk-UA" w:eastAsia="en-GB"/>
              </w:rPr>
              <w:t>створена для виявлення порушень в процедурах та правилах, та для здійснення періодичної оцінки повноти, коректності та, функціональності (з точки зору ефективності та продуктивності) та надійності організаційної структури інших компонентів системи внутрішнього контролю (І та ІІ рівні контролю) та ІТ-системи (аудит ICT), у попередньо встановлені проміжки часу в залежності від характеру та серйозності ризиків .</w:t>
            </w:r>
          </w:p>
          <w:p w14:paraId="0E531D0A"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Calibri" w:hAnsi="Times New Roman" w:cs="Times New Roman"/>
                <w:sz w:val="22"/>
                <w:szCs w:val="22"/>
                <w:lang w:val="uk-UA" w:eastAsia="en-GB"/>
              </w:rPr>
              <w:t xml:space="preserve">В Банку внутрішній аудит виконується департаментом внутрішнього аудиту. Аудит також може проводитися відділом аудиту Головного банку материнської компанії Інтеза Санпаоло. </w:t>
            </w:r>
          </w:p>
          <w:p w14:paraId="258DCB79" w14:textId="77777777" w:rsidR="008F47C0" w:rsidRPr="004229C1" w:rsidRDefault="008F47C0" w:rsidP="008F47C0">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Департамент внутрішнього аудиту підпорядкований та підзвітний Наглядовій Раді Банку.</w:t>
            </w:r>
          </w:p>
          <w:p w14:paraId="4BC39555" w14:textId="77777777" w:rsidR="008F47C0" w:rsidRPr="004229C1" w:rsidRDefault="008F47C0" w:rsidP="008F47C0">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Директор департаменту внутрішнього аудиту банку підпорядковується та звітує перед Наглядовою Радою Банку.</w:t>
            </w:r>
          </w:p>
          <w:p w14:paraId="2944B672" w14:textId="77777777" w:rsidR="008F47C0" w:rsidRPr="004229C1" w:rsidRDefault="008F47C0" w:rsidP="008F47C0">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Департамент внутрішнього аудиту, як суб’єкт системи внутрішнього контролю, здійснює незалежну діяльність щодо оцінки ефективності організації корпоративного управління в банку, систем управління ризиками, внутрішнього контролю в операційній і фінансовій сферах діяльності Банку, в області інформаційних систем і сфері дотримання зовнішніх і внутрішніх нормативних вимог. Аудиторські перевірки проводяться згідно з річним планом аудиторських перевірок, що складається на основі ризик-орієнтованого підходу та з урахуванням вимог Національного банку України, а також пропозицій і завдань, отриманих від Наглядової Ради Банку, та затверджується Наглядовою Радою Банку.</w:t>
            </w:r>
          </w:p>
          <w:p w14:paraId="4C1801B7" w14:textId="77777777" w:rsidR="008F47C0" w:rsidRPr="004229C1" w:rsidRDefault="008F47C0" w:rsidP="008F47C0">
            <w:pPr>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Результати перевірок та ключові ризики виносяться на розгляд Наглядовій Раді Банку.</w:t>
            </w:r>
          </w:p>
          <w:p w14:paraId="5F399E55" w14:textId="2FE0DDA6"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8F47C0" w:rsidRPr="004229C1" w14:paraId="47C318F1"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702AAA0C" w14:textId="28A33EC0"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Наявність затвердженого документу (документів), який (які) визначає(</w:t>
            </w:r>
            <w:proofErr w:type="spellStart"/>
            <w:r w:rsidRPr="004229C1">
              <w:rPr>
                <w:rFonts w:ascii="Times New Roman" w:eastAsia="Calibri" w:hAnsi="Times New Roman" w:cs="Times New Roman"/>
                <w:sz w:val="22"/>
                <w:szCs w:val="22"/>
                <w:lang w:val="uk-UA"/>
              </w:rPr>
              <w:t>ють</w:t>
            </w:r>
            <w:proofErr w:type="spellEnd"/>
            <w:r w:rsidRPr="004229C1">
              <w:rPr>
                <w:rFonts w:ascii="Times New Roman" w:eastAsia="Calibri" w:hAnsi="Times New Roman" w:cs="Times New Roman"/>
                <w:sz w:val="22"/>
                <w:szCs w:val="22"/>
                <w:lang w:val="uk-UA"/>
              </w:rPr>
              <w:t>) політику системи внутрішнього контролю (у тому числі щодо системи комплаєнс та внутрішнього аудиту)</w:t>
            </w:r>
          </w:p>
        </w:tc>
        <w:tc>
          <w:tcPr>
            <w:tcW w:w="6500" w:type="dxa"/>
            <w:tcBorders>
              <w:top w:val="single" w:sz="6" w:space="0" w:color="auto"/>
              <w:left w:val="single" w:sz="6" w:space="0" w:color="auto"/>
              <w:bottom w:val="single" w:sz="6" w:space="0" w:color="auto"/>
            </w:tcBorders>
            <w:vAlign w:val="center"/>
          </w:tcPr>
          <w:p w14:paraId="6AC94E05" w14:textId="512AB8F0"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Так</w:t>
            </w:r>
          </w:p>
        </w:tc>
      </w:tr>
      <w:tr w:rsidR="008F47C0" w:rsidRPr="004229C1" w14:paraId="657C9D63"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22A0AA99" w14:textId="493A8BCE"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Перелік основних внутрішніх документів щодо системи внутрішнього контролю (у тому числі щодо системи комплаєнс та внутрішнього аудиту)</w:t>
            </w:r>
          </w:p>
        </w:tc>
        <w:tc>
          <w:tcPr>
            <w:tcW w:w="6500" w:type="dxa"/>
            <w:tcBorders>
              <w:top w:val="single" w:sz="6" w:space="0" w:color="auto"/>
              <w:left w:val="single" w:sz="6" w:space="0" w:color="auto"/>
              <w:bottom w:val="single" w:sz="6" w:space="0" w:color="auto"/>
            </w:tcBorders>
            <w:vAlign w:val="center"/>
          </w:tcPr>
          <w:p w14:paraId="6713954E" w14:textId="77777777" w:rsidR="008F47C0" w:rsidRPr="004229C1" w:rsidRDefault="008F47C0" w:rsidP="002B4288">
            <w:pPr>
              <w:spacing w:line="240" w:lineRule="auto"/>
              <w:jc w:val="both"/>
              <w:rPr>
                <w:rFonts w:ascii="Times New Roman" w:eastAsia="Calibri" w:hAnsi="Times New Roman" w:cs="Times New Roman"/>
                <w:bCs/>
                <w:color w:val="000000"/>
                <w:sz w:val="22"/>
                <w:szCs w:val="22"/>
                <w:lang w:val="uk-UA"/>
              </w:rPr>
            </w:pPr>
            <w:r w:rsidRPr="004229C1">
              <w:rPr>
                <w:rFonts w:ascii="Times New Roman" w:eastAsia="Calibri" w:hAnsi="Times New Roman" w:cs="Times New Roman"/>
                <w:bCs/>
                <w:color w:val="000000"/>
                <w:sz w:val="22"/>
                <w:szCs w:val="22"/>
                <w:lang w:val="uk-UA"/>
              </w:rPr>
              <w:t>1. Положення про комплексну систему внутрішнього контролю АТ «ПРАВЕКС БАНК», затверджене Наглядовою Радою Банку, Протокол № 4_23 від 28 березня 2023 року, питання 13 Порядку денного.</w:t>
            </w:r>
          </w:p>
          <w:p w14:paraId="7553CE17"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Метою Положення є побудова принципів функціонування Системи Внутрішнього Контролю АТ «ПРАВЕКС БАНК». Це досягається шляхом встановлення відповідних правил та визначення обов’язків органів, організаційних та управлінських структур, включаючи контрольні підрозділи, які різними способами сприяють належному функціонуванню системи внутрішнього контролю. Крім того, даний документ визначає методи координації та інформаційні потоки, які допомагають забезпечити цілісність системи.</w:t>
            </w:r>
          </w:p>
          <w:p w14:paraId="0DA5ED42" w14:textId="77777777" w:rsidR="008F47C0" w:rsidRPr="004229C1" w:rsidRDefault="008F47C0" w:rsidP="002B4288">
            <w:pPr>
              <w:spacing w:line="240" w:lineRule="auto"/>
              <w:jc w:val="both"/>
              <w:rPr>
                <w:rFonts w:ascii="Times New Roman" w:eastAsia="Calibri" w:hAnsi="Times New Roman" w:cs="Times New Roman"/>
                <w:bCs/>
                <w:color w:val="000000"/>
                <w:sz w:val="22"/>
                <w:szCs w:val="22"/>
                <w:lang w:val="uk-UA"/>
              </w:rPr>
            </w:pPr>
            <w:r w:rsidRPr="004229C1">
              <w:rPr>
                <w:rFonts w:ascii="Times New Roman" w:eastAsia="Calibri" w:hAnsi="Times New Roman" w:cs="Times New Roman"/>
                <w:bCs/>
                <w:color w:val="000000"/>
                <w:sz w:val="22"/>
                <w:szCs w:val="22"/>
                <w:lang w:val="uk-UA"/>
              </w:rPr>
              <w:t>2. Висновок департаменту внутрішнього аудиту про оцінку системи внутрішнього контролю, затверджений Протокол Наглядової Ради №2_25 від 29 січня 2025 року</w:t>
            </w:r>
          </w:p>
          <w:p w14:paraId="318BB9F8"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Оцінка системи внутрішнього контролю була здійснена на підставі результатів проведених перевірок та за наступними критеріями, що були затверджені рішенням Наглядової Ради (рішення № 10_20.10 від 29 вересня 2020 року):</w:t>
            </w:r>
          </w:p>
          <w:p w14:paraId="586A3363"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1) наявність у банку організаційної структури системи внутрішнього контролю, що включає розподіл функцій між суб'єктами контролю з можливістю чіткого визначення відповідальних осіб за виконання цих функцій;</w:t>
            </w:r>
          </w:p>
          <w:p w14:paraId="7D424410"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2) наявність внутрішніх нормативних документів, що регламентують:</w:t>
            </w:r>
          </w:p>
          <w:p w14:paraId="723A179D"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 принципи побудови системи внутрішнього контролю;</w:t>
            </w:r>
          </w:p>
          <w:p w14:paraId="39A8E157"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 функції та повноваження працівників банку та підрозділів банку в системі внутрішнього контролю;</w:t>
            </w:r>
          </w:p>
          <w:p w14:paraId="1ED99176"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-порядок взаємодії, прийняття рішень та розподіл повноважень підрозділів банку під час здійснення внутрішнього контролю;</w:t>
            </w:r>
          </w:p>
          <w:p w14:paraId="1BAE20F4"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-порядок виявлення недоліків та організації звітування щодо функціонування системи внутрішнього контролю;</w:t>
            </w:r>
          </w:p>
          <w:p w14:paraId="0232F641"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3) охоплення заходами з контролю всіх операцій та продуктів банку;</w:t>
            </w:r>
          </w:p>
          <w:p w14:paraId="781DC545"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4) порядок контролю за функціонуванням системи внутрішнього контролю керівниками банку;</w:t>
            </w:r>
          </w:p>
          <w:p w14:paraId="2925E7F9"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5) результати оцінки ефективності системи управління ризиками банку;</w:t>
            </w:r>
          </w:p>
          <w:p w14:paraId="2E410843"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6) результати оцінки ефективності управління інформаційними потоками, уключаючи отримання і передавання інформації, забезпечення функціонування системи інформаційної безпеки;</w:t>
            </w:r>
          </w:p>
          <w:p w14:paraId="0FE6ACCA"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7) відповідність політики за окремими напрямами діяльності банку та процедур банку вимогам законодавства України, нормативно-правових актів Національного банку, внутрішньобанківських документів, стандартів професійних об'єднань, дія яких поширюється на банк, узгодженість внутрішньобанківських документів між собою;</w:t>
            </w:r>
          </w:p>
          <w:p w14:paraId="1F7F6893"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8) комплексність, ефективність та адекватність установлених заходів із контролю та контроль за їх виконанням працівниками банку відповідно до внутрішньобанківських документів;</w:t>
            </w:r>
          </w:p>
          <w:p w14:paraId="75DB82CD"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9) наявність у банку культури контролю, що включає своєчасну фіксацію та аналіз виявлених недоліків системи внутрішнього контролю, звітування щодо виявлених недоліків керівникам банку в межах визначених банком повноважень, ужиття своєчасних та адекватних заходів щодо усунення виявлених недоліків.</w:t>
            </w:r>
          </w:p>
          <w:p w14:paraId="0135E38B" w14:textId="77777777" w:rsidR="008F47C0" w:rsidRPr="004229C1" w:rsidRDefault="008F47C0" w:rsidP="002B4288">
            <w:pPr>
              <w:spacing w:line="240" w:lineRule="auto"/>
              <w:jc w:val="both"/>
              <w:rPr>
                <w:rFonts w:ascii="Times New Roman" w:eastAsia="Calibri" w:hAnsi="Times New Roman" w:cs="Times New Roman"/>
                <w:b/>
                <w:color w:val="000000"/>
                <w:sz w:val="22"/>
                <w:szCs w:val="22"/>
                <w:lang w:val="uk-UA"/>
              </w:rPr>
            </w:pPr>
            <w:r w:rsidRPr="004229C1">
              <w:rPr>
                <w:rFonts w:ascii="Times New Roman" w:eastAsia="Calibri" w:hAnsi="Times New Roman" w:cs="Times New Roman"/>
                <w:color w:val="000000"/>
                <w:sz w:val="22"/>
                <w:szCs w:val="22"/>
                <w:lang w:val="uk-UA"/>
              </w:rPr>
              <w:t xml:space="preserve">Результати оцінки системи внутрішнього контролю за 2024 рік свідчать про те, що загалом ефективність системи внутрішнього контролю є на достатньому рівні. По окремим процесам система внутрішнього контролю потребує покращення, зокрема по процесам на рівні відділень, по процесам в частині АМЛ, аутсорсингу, надання послуг контактним центром, управління безперервною діяльністю, управління проектами. Основні області, що потребують покращення, відображені в </w:t>
            </w:r>
            <w:proofErr w:type="spellStart"/>
            <w:r w:rsidRPr="004229C1">
              <w:rPr>
                <w:rFonts w:ascii="Times New Roman" w:eastAsia="Calibri" w:hAnsi="Times New Roman" w:cs="Times New Roman"/>
                <w:color w:val="000000"/>
                <w:sz w:val="22"/>
                <w:szCs w:val="22"/>
                <w:lang w:val="uk-UA"/>
              </w:rPr>
              <w:t>TdB</w:t>
            </w:r>
            <w:proofErr w:type="spellEnd"/>
            <w:r w:rsidRPr="004229C1">
              <w:rPr>
                <w:rFonts w:ascii="Times New Roman" w:eastAsia="Calibri" w:hAnsi="Times New Roman" w:cs="Times New Roman"/>
                <w:color w:val="000000"/>
                <w:sz w:val="22"/>
                <w:szCs w:val="22"/>
                <w:lang w:val="uk-UA"/>
              </w:rPr>
              <w:t xml:space="preserve"> внутрішнього аудиту.</w:t>
            </w:r>
          </w:p>
          <w:p w14:paraId="08BD6948" w14:textId="0B6702B9" w:rsidR="008F47C0" w:rsidRPr="004229C1" w:rsidRDefault="008F47C0" w:rsidP="002B4288">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 </w:t>
            </w:r>
          </w:p>
        </w:tc>
      </w:tr>
      <w:tr w:rsidR="008F47C0" w:rsidRPr="004229C1" w14:paraId="6D530AA5"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78AEBB93" w14:textId="76784D69"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Дата та номер рішення про затвердження звіту щодо системи внутрішнього контролю (у тому числі комплаєнс-ризиків)</w:t>
            </w:r>
          </w:p>
        </w:tc>
        <w:tc>
          <w:tcPr>
            <w:tcW w:w="6500" w:type="dxa"/>
            <w:tcBorders>
              <w:top w:val="single" w:sz="6" w:space="0" w:color="auto"/>
              <w:left w:val="single" w:sz="6" w:space="0" w:color="auto"/>
              <w:bottom w:val="single" w:sz="6" w:space="0" w:color="auto"/>
            </w:tcBorders>
            <w:vAlign w:val="center"/>
          </w:tcPr>
          <w:p w14:paraId="625EE3B9" w14:textId="7E4335AF"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eastAsia="en-GB"/>
              </w:rPr>
              <w:t xml:space="preserve">Протокол Наглядової Ради №2_25 від 29 січня 2025 року </w:t>
            </w:r>
          </w:p>
        </w:tc>
      </w:tr>
      <w:tr w:rsidR="008F47C0" w:rsidRPr="004229C1" w14:paraId="4AF20F33" w14:textId="77777777" w:rsidTr="00571443">
        <w:trPr>
          <w:trHeight w:val="200"/>
        </w:trPr>
        <w:tc>
          <w:tcPr>
            <w:tcW w:w="3500" w:type="dxa"/>
            <w:tcBorders>
              <w:top w:val="single" w:sz="6" w:space="0" w:color="auto"/>
              <w:bottom w:val="single" w:sz="6" w:space="0" w:color="auto"/>
              <w:right w:val="single" w:sz="6" w:space="0" w:color="auto"/>
            </w:tcBorders>
            <w:vAlign w:val="center"/>
          </w:tcPr>
          <w:p w14:paraId="25CC3F00" w14:textId="160B2CC3" w:rsidR="008F47C0" w:rsidRPr="004229C1" w:rsidRDefault="008F47C0" w:rsidP="008F47C0">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rPr>
              <w:t>Основні положення звіту системи внутрішнього контролю (у тому числі комплаєнс-ризиків)</w:t>
            </w:r>
          </w:p>
        </w:tc>
        <w:tc>
          <w:tcPr>
            <w:tcW w:w="6500" w:type="dxa"/>
            <w:tcBorders>
              <w:top w:val="single" w:sz="6" w:space="0" w:color="auto"/>
              <w:left w:val="single" w:sz="6" w:space="0" w:color="auto"/>
              <w:bottom w:val="single" w:sz="6" w:space="0" w:color="auto"/>
            </w:tcBorders>
            <w:vAlign w:val="center"/>
          </w:tcPr>
          <w:p w14:paraId="13BD0730" w14:textId="77777777" w:rsidR="008F47C0" w:rsidRPr="004229C1" w:rsidRDefault="008F47C0" w:rsidP="008F47C0">
            <w:pPr>
              <w:spacing w:line="240" w:lineRule="auto"/>
              <w:jc w:val="both"/>
              <w:rPr>
                <w:rFonts w:ascii="Times New Roman" w:eastAsia="Calibri" w:hAnsi="Times New Roman" w:cs="Times New Roman"/>
                <w:bCs/>
                <w:sz w:val="22"/>
                <w:szCs w:val="22"/>
                <w:lang w:val="uk-UA" w:eastAsia="en-GB"/>
              </w:rPr>
            </w:pPr>
            <w:r w:rsidRPr="004229C1">
              <w:rPr>
                <w:rFonts w:ascii="Times New Roman" w:eastAsia="Calibri" w:hAnsi="Times New Roman" w:cs="Times New Roman"/>
                <w:bCs/>
                <w:sz w:val="22"/>
                <w:szCs w:val="22"/>
                <w:lang w:val="uk-UA" w:eastAsia="en-GB"/>
              </w:rPr>
              <w:t xml:space="preserve">Звіт комплаєнс за 2024 рік </w:t>
            </w:r>
          </w:p>
          <w:p w14:paraId="55C97E00"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Calibri" w:hAnsi="Times New Roman" w:cs="Times New Roman"/>
                <w:sz w:val="22"/>
                <w:szCs w:val="22"/>
                <w:lang w:val="uk-UA" w:eastAsia="en-GB"/>
              </w:rPr>
              <w:t xml:space="preserve">У 2024 році підрозділ комплаєнс АТ «ПРАВЕКС БАНК» успішно здійснював контроль за дотриманням нормативних вимог та внутрішніх політик банку. В рамках перевірок, зокрема Пенсійного фонду України та Фонду гарантування вкладів фізичних осіб, порушень не було виявлено, хоча були надані рекомендації щодо вдосконалення бази даних вкладників. Підрозділ активно </w:t>
            </w:r>
            <w:proofErr w:type="spellStart"/>
            <w:r w:rsidRPr="004229C1">
              <w:rPr>
                <w:rFonts w:ascii="Times New Roman" w:eastAsia="Calibri" w:hAnsi="Times New Roman" w:cs="Times New Roman"/>
                <w:sz w:val="22"/>
                <w:szCs w:val="22"/>
                <w:lang w:val="uk-UA" w:eastAsia="en-GB"/>
              </w:rPr>
              <w:t>імплементував</w:t>
            </w:r>
            <w:proofErr w:type="spellEnd"/>
            <w:r w:rsidRPr="004229C1">
              <w:rPr>
                <w:rFonts w:ascii="Times New Roman" w:eastAsia="Calibri" w:hAnsi="Times New Roman" w:cs="Times New Roman"/>
                <w:sz w:val="22"/>
                <w:szCs w:val="22"/>
                <w:lang w:val="uk-UA" w:eastAsia="en-GB"/>
              </w:rPr>
              <w:t xml:space="preserve"> оновлені правила групи та здійснював моніторинг нових законодавчих ініціатив, проаналізувавши понад 130 нормативних актів. Також проводилася робота з поширення комплаєнс-культури та управління інцидентами, пов’язаними з недотриманням вимог, а звітність щодо захисту персональних даних відповідала чинним нормам. Загалом, банк успішно мінімізував комплаєнс-ризики та забезпечив відповідність вимогам регуляторів.</w:t>
            </w:r>
          </w:p>
          <w:p w14:paraId="2DF39D5E" w14:textId="77777777" w:rsidR="008F47C0" w:rsidRPr="004229C1" w:rsidRDefault="008F47C0" w:rsidP="008F47C0">
            <w:pPr>
              <w:spacing w:line="240" w:lineRule="auto"/>
              <w:jc w:val="both"/>
              <w:rPr>
                <w:rFonts w:ascii="Times New Roman" w:eastAsia="Calibri" w:hAnsi="Times New Roman" w:cs="Times New Roman"/>
                <w:bCs/>
                <w:sz w:val="22"/>
                <w:szCs w:val="22"/>
                <w:lang w:val="uk-UA" w:eastAsia="en-GB"/>
              </w:rPr>
            </w:pPr>
            <w:r w:rsidRPr="004229C1">
              <w:rPr>
                <w:rFonts w:ascii="Times New Roman" w:eastAsia="Calibri" w:hAnsi="Times New Roman" w:cs="Times New Roman"/>
                <w:bCs/>
                <w:sz w:val="22"/>
                <w:szCs w:val="22"/>
                <w:lang w:val="uk-UA" w:eastAsia="en-GB"/>
              </w:rPr>
              <w:t>Звіт з управління ризиками за 2024 рік</w:t>
            </w:r>
          </w:p>
          <w:p w14:paraId="75E8F10B"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Calibri" w:hAnsi="Times New Roman" w:cs="Times New Roman"/>
                <w:sz w:val="22"/>
                <w:szCs w:val="22"/>
                <w:lang w:val="uk-UA" w:eastAsia="en-GB"/>
              </w:rPr>
              <w:t xml:space="preserve">У 2024 році PRAVEX BANK успішно виконав вимоги Національного банку України (НБУ) щодо управління ризиками, впровадив </w:t>
            </w:r>
            <w:proofErr w:type="spellStart"/>
            <w:r w:rsidRPr="004229C1">
              <w:rPr>
                <w:rFonts w:ascii="Times New Roman" w:eastAsia="Calibri" w:hAnsi="Times New Roman" w:cs="Times New Roman"/>
                <w:sz w:val="22"/>
                <w:szCs w:val="22"/>
                <w:lang w:val="uk-UA" w:eastAsia="en-GB"/>
              </w:rPr>
              <w:t>трирівневу</w:t>
            </w:r>
            <w:proofErr w:type="spellEnd"/>
            <w:r w:rsidRPr="004229C1">
              <w:rPr>
                <w:rFonts w:ascii="Times New Roman" w:eastAsia="Calibri" w:hAnsi="Times New Roman" w:cs="Times New Roman"/>
                <w:sz w:val="22"/>
                <w:szCs w:val="22"/>
                <w:lang w:val="uk-UA" w:eastAsia="en-GB"/>
              </w:rPr>
              <w:t xml:space="preserve"> структуру капіталу та оновив політики з кредитних, ринкових, операційних і ліквідних ризиків. Банк подав тестовий звіт ICAAP і розпочав підготовку до обов’язкового звіту ILAAP у 2025 році, а також оновив «План відновлення» відповідно до вимог регулятора.</w:t>
            </w:r>
          </w:p>
          <w:p w14:paraId="0474214B"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Calibri" w:hAnsi="Times New Roman" w:cs="Times New Roman"/>
                <w:sz w:val="22"/>
                <w:szCs w:val="22"/>
                <w:lang w:val="uk-UA" w:eastAsia="en-GB"/>
              </w:rPr>
              <w:t xml:space="preserve">Попри воєнний стан, банк реалізував механізми раннього попередження проблемних активів, провів реструктуризацію кредитів клієнтів та дотримувався всіх регуляторних показників. Внутрішні стрес-тести підтвердили стабільність установи. Серед ключових проєктів року – оновлення системи NPX.IR, розробка нової версії Кредитного реєстру та вдосконалення розрахунків </w:t>
            </w:r>
            <w:proofErr w:type="spellStart"/>
            <w:r w:rsidRPr="004229C1">
              <w:rPr>
                <w:rFonts w:ascii="Times New Roman" w:eastAsia="Calibri" w:hAnsi="Times New Roman" w:cs="Times New Roman"/>
                <w:sz w:val="22"/>
                <w:szCs w:val="22"/>
                <w:lang w:val="uk-UA" w:eastAsia="en-GB"/>
              </w:rPr>
              <w:t>ризикозважених</w:t>
            </w:r>
            <w:proofErr w:type="spellEnd"/>
            <w:r w:rsidRPr="004229C1">
              <w:rPr>
                <w:rFonts w:ascii="Times New Roman" w:eastAsia="Calibri" w:hAnsi="Times New Roman" w:cs="Times New Roman"/>
                <w:sz w:val="22"/>
                <w:szCs w:val="22"/>
                <w:lang w:val="uk-UA" w:eastAsia="en-GB"/>
              </w:rPr>
              <w:t xml:space="preserve"> активів (RWA) відповідно до </w:t>
            </w:r>
            <w:proofErr w:type="spellStart"/>
            <w:r w:rsidRPr="004229C1">
              <w:rPr>
                <w:rFonts w:ascii="Times New Roman" w:eastAsia="Calibri" w:hAnsi="Times New Roman" w:cs="Times New Roman"/>
                <w:sz w:val="22"/>
                <w:szCs w:val="22"/>
                <w:lang w:val="uk-UA" w:eastAsia="en-GB"/>
              </w:rPr>
              <w:t>Basel</w:t>
            </w:r>
            <w:proofErr w:type="spellEnd"/>
            <w:r w:rsidRPr="004229C1">
              <w:rPr>
                <w:rFonts w:ascii="Times New Roman" w:eastAsia="Calibri" w:hAnsi="Times New Roman" w:cs="Times New Roman"/>
                <w:sz w:val="22"/>
                <w:szCs w:val="22"/>
                <w:lang w:val="uk-UA" w:eastAsia="en-GB"/>
              </w:rPr>
              <w:t xml:space="preserve"> IV.</w:t>
            </w:r>
          </w:p>
          <w:p w14:paraId="762DFC1B" w14:textId="77777777" w:rsidR="008F47C0" w:rsidRPr="004229C1" w:rsidRDefault="008F47C0" w:rsidP="008F47C0">
            <w:pPr>
              <w:spacing w:line="240" w:lineRule="auto"/>
              <w:jc w:val="both"/>
              <w:rPr>
                <w:rFonts w:ascii="Times New Roman" w:eastAsia="Calibri" w:hAnsi="Times New Roman" w:cs="Times New Roman"/>
                <w:b/>
                <w:sz w:val="22"/>
                <w:szCs w:val="22"/>
                <w:lang w:val="uk-UA" w:eastAsia="en-GB"/>
              </w:rPr>
            </w:pPr>
            <w:r w:rsidRPr="004229C1">
              <w:rPr>
                <w:rFonts w:ascii="Times New Roman" w:eastAsia="Calibri" w:hAnsi="Times New Roman" w:cs="Times New Roman"/>
                <w:bCs/>
                <w:sz w:val="22"/>
                <w:szCs w:val="22"/>
                <w:lang w:val="uk-UA" w:eastAsia="en-GB"/>
              </w:rPr>
              <w:t>Оцінка системи внутрішнього контролю</w:t>
            </w:r>
            <w:r w:rsidRPr="004229C1">
              <w:rPr>
                <w:rFonts w:ascii="Times New Roman" w:eastAsia="Calibri" w:hAnsi="Times New Roman" w:cs="Times New Roman"/>
                <w:sz w:val="22"/>
                <w:szCs w:val="22"/>
                <w:lang w:val="uk-UA" w:eastAsia="en-GB"/>
              </w:rPr>
              <w:t xml:space="preserve"> була здійснена внутрішнім аудитом на підставі результатів проведених перевірок та за критеріями, що були затверджені рішенням Наглядової Ради (рішення № 10_20.10 від 29 вересня 2020 року).</w:t>
            </w:r>
          </w:p>
          <w:p w14:paraId="27999B93" w14:textId="5D2D8B0C" w:rsidR="008F47C0" w:rsidRPr="004229C1" w:rsidRDefault="008F47C0" w:rsidP="008F47C0">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Calibri" w:hAnsi="Times New Roman" w:cs="Times New Roman"/>
                <w:sz w:val="22"/>
                <w:szCs w:val="22"/>
                <w:lang w:val="uk-UA" w:eastAsia="en-GB"/>
              </w:rPr>
              <w:t>Результати оцінки системи внутрішнього контролю за 2024 рік свідчать про те, що загалом ефективність системи внутрішнього контролю є на достатньому рівні. По окремим процесам система внутрішнього контролю потребує покращення, зокрема по процесам на рівні відділень, по процесам в частині АМЛ, аутсорсингу, надання послуг контактним центром, управління безперервною діяльністю, управління проектами.</w:t>
            </w:r>
          </w:p>
        </w:tc>
      </w:tr>
      <w:tr w:rsidR="008F47C0" w:rsidRPr="004229C1" w14:paraId="5DECEACC" w14:textId="77777777" w:rsidTr="008F47C0">
        <w:trPr>
          <w:trHeight w:val="200"/>
        </w:trPr>
        <w:tc>
          <w:tcPr>
            <w:tcW w:w="3500" w:type="dxa"/>
            <w:tcBorders>
              <w:top w:val="single" w:sz="6" w:space="0" w:color="auto"/>
              <w:left w:val="single" w:sz="6" w:space="0" w:color="auto"/>
              <w:bottom w:val="single" w:sz="6" w:space="0" w:color="auto"/>
              <w:right w:val="single" w:sz="6" w:space="0" w:color="auto"/>
            </w:tcBorders>
            <w:vAlign w:val="center"/>
          </w:tcPr>
          <w:p w14:paraId="2610FE31" w14:textId="77777777" w:rsidR="008F47C0" w:rsidRPr="004229C1" w:rsidRDefault="008F47C0" w:rsidP="008F47C0">
            <w:pPr>
              <w:widowControl w:val="0"/>
              <w:autoSpaceDE w:val="0"/>
              <w:autoSpaceDN w:val="0"/>
              <w:adjustRightInd w:val="0"/>
              <w:spacing w:after="0" w:line="240" w:lineRule="auto"/>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Наявність затвердженої декларації схильності до ризиків: Так/Ні</w:t>
            </w:r>
          </w:p>
        </w:tc>
        <w:tc>
          <w:tcPr>
            <w:tcW w:w="6500" w:type="dxa"/>
            <w:tcBorders>
              <w:top w:val="single" w:sz="6" w:space="0" w:color="auto"/>
              <w:left w:val="single" w:sz="6" w:space="0" w:color="auto"/>
              <w:bottom w:val="single" w:sz="6" w:space="0" w:color="auto"/>
              <w:right w:val="single" w:sz="6" w:space="0" w:color="auto"/>
            </w:tcBorders>
            <w:vAlign w:val="center"/>
          </w:tcPr>
          <w:p w14:paraId="74F45EFC"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Так</w:t>
            </w:r>
          </w:p>
        </w:tc>
      </w:tr>
      <w:tr w:rsidR="008F47C0" w:rsidRPr="004229C1" w14:paraId="404C1A03" w14:textId="77777777" w:rsidTr="008F47C0">
        <w:trPr>
          <w:trHeight w:val="200"/>
        </w:trPr>
        <w:tc>
          <w:tcPr>
            <w:tcW w:w="3500" w:type="dxa"/>
            <w:tcBorders>
              <w:top w:val="single" w:sz="6" w:space="0" w:color="auto"/>
              <w:left w:val="single" w:sz="6" w:space="0" w:color="auto"/>
              <w:bottom w:val="single" w:sz="6" w:space="0" w:color="auto"/>
              <w:right w:val="single" w:sz="6" w:space="0" w:color="auto"/>
            </w:tcBorders>
            <w:vAlign w:val="center"/>
          </w:tcPr>
          <w:p w14:paraId="64F87AAF" w14:textId="77777777" w:rsidR="008F47C0" w:rsidRPr="004229C1" w:rsidRDefault="008F47C0" w:rsidP="008F47C0">
            <w:pPr>
              <w:widowControl w:val="0"/>
              <w:autoSpaceDE w:val="0"/>
              <w:autoSpaceDN w:val="0"/>
              <w:adjustRightInd w:val="0"/>
              <w:spacing w:after="0" w:line="240" w:lineRule="auto"/>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Опис основних положень декларації схильності до ризиків</w:t>
            </w:r>
          </w:p>
        </w:tc>
        <w:tc>
          <w:tcPr>
            <w:tcW w:w="6500" w:type="dxa"/>
            <w:tcBorders>
              <w:top w:val="single" w:sz="6" w:space="0" w:color="auto"/>
              <w:left w:val="single" w:sz="6" w:space="0" w:color="auto"/>
              <w:bottom w:val="single" w:sz="6" w:space="0" w:color="auto"/>
              <w:right w:val="single" w:sz="6" w:space="0" w:color="auto"/>
            </w:tcBorders>
            <w:vAlign w:val="center"/>
          </w:tcPr>
          <w:p w14:paraId="2B877EF7"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Керівні принципи щодо структури ризик-апетиту АТ «ПРАВЕКС БАНК» містять:</w:t>
            </w:r>
          </w:p>
          <w:p w14:paraId="081E9915" w14:textId="77777777" w:rsidR="008F47C0" w:rsidRPr="004229C1" w:rsidRDefault="008F47C0" w:rsidP="008F47C0">
            <w:pPr>
              <w:numPr>
                <w:ilvl w:val="0"/>
                <w:numId w:val="21"/>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інформацію щодо функцій та обов’язків колегіальних органів та усіх залучених підрозділів;</w:t>
            </w:r>
          </w:p>
          <w:p w14:paraId="18E37BD2" w14:textId="77777777" w:rsidR="008F47C0" w:rsidRPr="004229C1" w:rsidRDefault="008F47C0" w:rsidP="008F47C0">
            <w:pPr>
              <w:numPr>
                <w:ilvl w:val="0"/>
                <w:numId w:val="21"/>
              </w:numPr>
              <w:spacing w:after="0" w:line="240" w:lineRule="auto"/>
              <w:jc w:val="both"/>
              <w:rPr>
                <w:rFonts w:ascii="Times New Roman" w:eastAsia="Calibri" w:hAnsi="Times New Roman" w:cs="Times New Roman"/>
                <w:sz w:val="22"/>
                <w:szCs w:val="22"/>
                <w:lang w:val="uk-UA"/>
              </w:rPr>
            </w:pPr>
            <w:proofErr w:type="spellStart"/>
            <w:r w:rsidRPr="004229C1">
              <w:rPr>
                <w:rFonts w:ascii="Times New Roman" w:eastAsia="Calibri" w:hAnsi="Times New Roman" w:cs="Times New Roman"/>
                <w:sz w:val="22"/>
                <w:szCs w:val="22"/>
                <w:lang w:val="uk-UA"/>
              </w:rPr>
              <w:t>макро</w:t>
            </w:r>
            <w:proofErr w:type="spellEnd"/>
            <w:r w:rsidRPr="004229C1">
              <w:rPr>
                <w:rFonts w:ascii="Times New Roman" w:eastAsia="Calibri" w:hAnsi="Times New Roman" w:cs="Times New Roman"/>
                <w:sz w:val="22"/>
                <w:szCs w:val="22"/>
                <w:lang w:val="uk-UA"/>
              </w:rPr>
              <w:t>-процес визначення, затвердження, впровадження та контролю ризик-апетитів, включаючи процеси ескалації та інформаційні потоки;</w:t>
            </w:r>
          </w:p>
          <w:p w14:paraId="6A11DBD0" w14:textId="77777777" w:rsidR="008F47C0" w:rsidRPr="004229C1" w:rsidRDefault="008F47C0" w:rsidP="008F47C0">
            <w:pPr>
              <w:numPr>
                <w:ilvl w:val="0"/>
                <w:numId w:val="21"/>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додатки розкривають значення та правила розрахунку для ліміті вищого пріоритету та специфічних локальних лімітів, показників раннього попередження ризик-апетитів, встановлених Материнською компанією.</w:t>
            </w:r>
          </w:p>
          <w:p w14:paraId="4A2AA110"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Декларація схильності до ризиків АТ «ПРАВЕКС БАНК», включаючи посилання і на вищезазначений документ, містить:</w:t>
            </w:r>
          </w:p>
          <w:p w14:paraId="6071CF3B"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 xml:space="preserve">типи ризиків, які визначено як первинні ризики та інші рушії для встановлення ризик-апетитів на рівні Банку; </w:t>
            </w:r>
          </w:p>
          <w:p w14:paraId="09280445"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 xml:space="preserve">визначення допустимого рівня ризику; </w:t>
            </w:r>
          </w:p>
          <w:p w14:paraId="5F388BE1"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 xml:space="preserve">показники ризику; </w:t>
            </w:r>
          </w:p>
          <w:p w14:paraId="175B1527"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 xml:space="preserve">основні припущення задля узгодженості між Бізнес-планом, Бюджетом та ризик-апетитами; </w:t>
            </w:r>
          </w:p>
          <w:p w14:paraId="1C47278D"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визначення рівня (величини) ризик-апетиту;</w:t>
            </w:r>
          </w:p>
          <w:p w14:paraId="70C51068"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рівень ризик-апетитів, який затверджено (зокрема, вказано значення специфічних внутрішніх ризик-апетитів, що вимагаються НБУ та які ще не охоплені двома категоріями, зазначеними у попередньому документі);</w:t>
            </w:r>
          </w:p>
          <w:p w14:paraId="53134ADC"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ризики, що виникають з торгової книги, як ризики, які слід уникати;</w:t>
            </w:r>
          </w:p>
          <w:p w14:paraId="262BB51D"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внутрішні та зовнішні фактори, що впливають на прийняття ризику;</w:t>
            </w:r>
          </w:p>
          <w:p w14:paraId="75CFCF2E" w14:textId="77777777" w:rsidR="008F47C0" w:rsidRPr="004229C1" w:rsidRDefault="008F47C0" w:rsidP="008F47C0">
            <w:pPr>
              <w:numPr>
                <w:ilvl w:val="0"/>
                <w:numId w:val="22"/>
              </w:numPr>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 xml:space="preserve">додатки висвітлюють основні визначення та правила розрахунку специфічних внутрішніх ризик-апетитів. </w:t>
            </w:r>
          </w:p>
        </w:tc>
      </w:tr>
      <w:tr w:rsidR="008F47C0" w:rsidRPr="004229C1" w14:paraId="02D5B2BE" w14:textId="77777777" w:rsidTr="008F47C0">
        <w:trPr>
          <w:trHeight w:val="200"/>
        </w:trPr>
        <w:tc>
          <w:tcPr>
            <w:tcW w:w="3500" w:type="dxa"/>
            <w:tcBorders>
              <w:top w:val="single" w:sz="6" w:space="0" w:color="auto"/>
              <w:left w:val="single" w:sz="6" w:space="0" w:color="auto"/>
              <w:bottom w:val="single" w:sz="6" w:space="0" w:color="auto"/>
              <w:right w:val="single" w:sz="6" w:space="0" w:color="auto"/>
            </w:tcBorders>
            <w:vAlign w:val="center"/>
          </w:tcPr>
          <w:p w14:paraId="428EBA22" w14:textId="77777777" w:rsidR="008F47C0" w:rsidRPr="004229C1" w:rsidRDefault="008F47C0" w:rsidP="008F47C0">
            <w:pPr>
              <w:widowControl w:val="0"/>
              <w:autoSpaceDE w:val="0"/>
              <w:autoSpaceDN w:val="0"/>
              <w:adjustRightInd w:val="0"/>
              <w:spacing w:after="0" w:line="240" w:lineRule="auto"/>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Назва органу, який прийняв рішення про затвердження декларації схильності до ризиків</w:t>
            </w:r>
          </w:p>
        </w:tc>
        <w:tc>
          <w:tcPr>
            <w:tcW w:w="6500" w:type="dxa"/>
            <w:tcBorders>
              <w:top w:val="single" w:sz="6" w:space="0" w:color="auto"/>
              <w:left w:val="single" w:sz="6" w:space="0" w:color="auto"/>
              <w:bottom w:val="single" w:sz="6" w:space="0" w:color="auto"/>
              <w:right w:val="single" w:sz="6" w:space="0" w:color="auto"/>
            </w:tcBorders>
            <w:vAlign w:val="center"/>
          </w:tcPr>
          <w:p w14:paraId="78878A68"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Наглядова Рада</w:t>
            </w:r>
          </w:p>
        </w:tc>
      </w:tr>
      <w:tr w:rsidR="008F47C0" w:rsidRPr="004229C1" w14:paraId="4219CC1A" w14:textId="77777777" w:rsidTr="008F47C0">
        <w:trPr>
          <w:trHeight w:val="200"/>
        </w:trPr>
        <w:tc>
          <w:tcPr>
            <w:tcW w:w="3500" w:type="dxa"/>
            <w:tcBorders>
              <w:top w:val="single" w:sz="6" w:space="0" w:color="auto"/>
              <w:left w:val="single" w:sz="6" w:space="0" w:color="auto"/>
              <w:bottom w:val="single" w:sz="6" w:space="0" w:color="auto"/>
              <w:right w:val="single" w:sz="6" w:space="0" w:color="auto"/>
            </w:tcBorders>
            <w:shd w:val="clear" w:color="auto" w:fill="FFFFFF"/>
            <w:vAlign w:val="center"/>
          </w:tcPr>
          <w:p w14:paraId="5B36D958" w14:textId="77777777" w:rsidR="008F47C0" w:rsidRPr="004229C1" w:rsidRDefault="008F47C0" w:rsidP="008F47C0">
            <w:pPr>
              <w:widowControl w:val="0"/>
              <w:autoSpaceDE w:val="0"/>
              <w:autoSpaceDN w:val="0"/>
              <w:adjustRightInd w:val="0"/>
              <w:spacing w:after="0" w:line="240" w:lineRule="auto"/>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Дата та номер рішення про затвердження декларації схильності до ризиків</w:t>
            </w:r>
          </w:p>
        </w:tc>
        <w:tc>
          <w:tcPr>
            <w:tcW w:w="6500" w:type="dxa"/>
            <w:tcBorders>
              <w:top w:val="single" w:sz="6" w:space="0" w:color="auto"/>
              <w:left w:val="single" w:sz="6" w:space="0" w:color="auto"/>
              <w:bottom w:val="single" w:sz="6" w:space="0" w:color="auto"/>
              <w:right w:val="single" w:sz="6" w:space="0" w:color="auto"/>
            </w:tcBorders>
            <w:shd w:val="clear" w:color="auto" w:fill="FFFFFF"/>
            <w:vAlign w:val="center"/>
          </w:tcPr>
          <w:p w14:paraId="623CF942"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Керівні принципи щодо структури ризик-апетиту АТ «ПРАВЕКС БАНК», затверджені Наглядовою Радою Банку згідно з Протоколом №9_24 від 04 квітня 2024 року, питання 8 Порядку денного.</w:t>
            </w:r>
          </w:p>
          <w:p w14:paraId="58334639" w14:textId="77777777" w:rsidR="008F47C0" w:rsidRPr="004229C1" w:rsidRDefault="008F47C0" w:rsidP="008F47C0">
            <w:pPr>
              <w:widowControl w:val="0"/>
              <w:autoSpaceDE w:val="0"/>
              <w:autoSpaceDN w:val="0"/>
              <w:adjustRightInd w:val="0"/>
              <w:spacing w:after="0" w:line="240" w:lineRule="auto"/>
              <w:jc w:val="both"/>
              <w:rPr>
                <w:rFonts w:ascii="Times New Roman" w:eastAsia="Calibri" w:hAnsi="Times New Roman" w:cs="Times New Roman"/>
                <w:sz w:val="22"/>
                <w:szCs w:val="22"/>
                <w:lang w:val="uk-UA"/>
              </w:rPr>
            </w:pPr>
            <w:r w:rsidRPr="004229C1">
              <w:rPr>
                <w:rFonts w:ascii="Times New Roman" w:eastAsia="Calibri" w:hAnsi="Times New Roman" w:cs="Times New Roman"/>
                <w:sz w:val="22"/>
                <w:szCs w:val="22"/>
                <w:lang w:val="uk-UA"/>
              </w:rPr>
              <w:t>Декларація схильності до ризиків АТ «ПРАВЕКС БАНК», затверджена Наглядовою Радою згідно з Протоколом № 13_24 від 28 травня 2024 року, питання 1.2 Порядку денного.</w:t>
            </w:r>
          </w:p>
        </w:tc>
      </w:tr>
    </w:tbl>
    <w:p w14:paraId="4CA4CC6E"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694366DC"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b/>
          <w:bCs/>
          <w:kern w:val="0"/>
          <w:lang w:val="uk-UA"/>
        </w:rPr>
        <w:t>Частина 8. Інформація щодо осіб, які прямо або опосередковано є власниками значного пакета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750"/>
        <w:gridCol w:w="1750"/>
        <w:gridCol w:w="1750"/>
        <w:gridCol w:w="1750"/>
      </w:tblGrid>
      <w:tr w:rsidR="007469BF" w:rsidRPr="004229C1" w14:paraId="098B1EB8" w14:textId="77777777">
        <w:trPr>
          <w:trHeight w:val="200"/>
        </w:trPr>
        <w:tc>
          <w:tcPr>
            <w:tcW w:w="3000" w:type="dxa"/>
            <w:tcBorders>
              <w:top w:val="single" w:sz="6" w:space="0" w:color="auto"/>
              <w:bottom w:val="single" w:sz="6" w:space="0" w:color="auto"/>
              <w:right w:val="single" w:sz="6" w:space="0" w:color="auto"/>
            </w:tcBorders>
            <w:vAlign w:val="center"/>
          </w:tcPr>
          <w:p w14:paraId="59CDEA0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Ім'я або повне найменування акціонера</w:t>
            </w:r>
          </w:p>
        </w:tc>
        <w:tc>
          <w:tcPr>
            <w:tcW w:w="1750" w:type="dxa"/>
            <w:tcBorders>
              <w:top w:val="single" w:sz="6" w:space="0" w:color="auto"/>
              <w:left w:val="single" w:sz="6" w:space="0" w:color="auto"/>
              <w:bottom w:val="single" w:sz="6" w:space="0" w:color="auto"/>
              <w:right w:val="single" w:sz="6" w:space="0" w:color="auto"/>
            </w:tcBorders>
            <w:vAlign w:val="center"/>
          </w:tcPr>
          <w:p w14:paraId="4B97DBC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14:paraId="1BD7DF0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УНЗР</w:t>
            </w:r>
          </w:p>
        </w:tc>
        <w:tc>
          <w:tcPr>
            <w:tcW w:w="1750" w:type="dxa"/>
            <w:tcBorders>
              <w:top w:val="single" w:sz="6" w:space="0" w:color="auto"/>
              <w:left w:val="single" w:sz="6" w:space="0" w:color="auto"/>
              <w:bottom w:val="single" w:sz="6" w:space="0" w:color="auto"/>
              <w:right w:val="single" w:sz="6" w:space="0" w:color="auto"/>
            </w:tcBorders>
            <w:vAlign w:val="center"/>
          </w:tcPr>
          <w:p w14:paraId="4392DE30"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Розмір значного пакета акцій</w:t>
            </w:r>
          </w:p>
        </w:tc>
        <w:tc>
          <w:tcPr>
            <w:tcW w:w="1750" w:type="dxa"/>
            <w:tcBorders>
              <w:top w:val="single" w:sz="6" w:space="0" w:color="auto"/>
              <w:left w:val="single" w:sz="6" w:space="0" w:color="auto"/>
              <w:bottom w:val="single" w:sz="6" w:space="0" w:color="auto"/>
            </w:tcBorders>
            <w:vAlign w:val="center"/>
          </w:tcPr>
          <w:p w14:paraId="7462B372"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Розмір пакета акцій, що знаходиться в прямому та (опосередкованому) володінні</w:t>
            </w:r>
          </w:p>
        </w:tc>
      </w:tr>
      <w:tr w:rsidR="007469BF" w:rsidRPr="004229C1" w14:paraId="266A7AE9" w14:textId="77777777">
        <w:trPr>
          <w:trHeight w:val="200"/>
        </w:trPr>
        <w:tc>
          <w:tcPr>
            <w:tcW w:w="3000" w:type="dxa"/>
            <w:tcBorders>
              <w:top w:val="single" w:sz="6" w:space="0" w:color="auto"/>
              <w:bottom w:val="single" w:sz="6" w:space="0" w:color="auto"/>
              <w:right w:val="single" w:sz="6" w:space="0" w:color="auto"/>
            </w:tcBorders>
            <w:vAlign w:val="center"/>
          </w:tcPr>
          <w:p w14:paraId="39262786" w14:textId="17942397" w:rsidR="007469BF" w:rsidRPr="004229C1" w:rsidRDefault="003117C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Інтеза</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Санпаоло</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С.п.А</w:t>
            </w:r>
            <w:proofErr w:type="spellEnd"/>
            <w:r w:rsidRPr="004229C1">
              <w:rPr>
                <w:rFonts w:ascii="Times New Roman" w:hAnsi="Times New Roman" w:cs="Times New Roman"/>
                <w:kern w:val="0"/>
                <w:sz w:val="22"/>
                <w:szCs w:val="22"/>
                <w:lang w:val="uk-UA"/>
              </w:rPr>
              <w:t>.</w:t>
            </w:r>
          </w:p>
        </w:tc>
        <w:tc>
          <w:tcPr>
            <w:tcW w:w="1750" w:type="dxa"/>
            <w:tcBorders>
              <w:top w:val="single" w:sz="6" w:space="0" w:color="auto"/>
              <w:left w:val="single" w:sz="6" w:space="0" w:color="auto"/>
              <w:bottom w:val="single" w:sz="6" w:space="0" w:color="auto"/>
              <w:right w:val="single" w:sz="6" w:space="0" w:color="auto"/>
            </w:tcBorders>
            <w:vAlign w:val="center"/>
          </w:tcPr>
          <w:p w14:paraId="07C71FBE"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14:paraId="7D196A4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14:paraId="530E1C39" w14:textId="29261C91" w:rsidR="007469BF" w:rsidRPr="004229C1" w:rsidRDefault="003117C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100</w:t>
            </w:r>
          </w:p>
        </w:tc>
        <w:tc>
          <w:tcPr>
            <w:tcW w:w="1750" w:type="dxa"/>
            <w:tcBorders>
              <w:top w:val="single" w:sz="6" w:space="0" w:color="auto"/>
              <w:left w:val="single" w:sz="6" w:space="0" w:color="auto"/>
              <w:bottom w:val="single" w:sz="6" w:space="0" w:color="auto"/>
            </w:tcBorders>
            <w:vAlign w:val="center"/>
          </w:tcPr>
          <w:p w14:paraId="5F5DA407" w14:textId="3622AFCF" w:rsidR="007469BF" w:rsidRPr="004229C1" w:rsidRDefault="003117C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100</w:t>
            </w:r>
          </w:p>
        </w:tc>
      </w:tr>
    </w:tbl>
    <w:p w14:paraId="5DF9F25E"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58D3E30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sectPr w:rsidR="007469BF" w:rsidRPr="004229C1" w:rsidSect="004A3B2B">
          <w:pgSz w:w="11905" w:h="16837" w:orient="landscape"/>
          <w:pgMar w:top="570" w:right="720" w:bottom="570" w:left="720" w:header="720" w:footer="720" w:gutter="0"/>
          <w:cols w:space="720"/>
          <w:noEndnote/>
          <w:docGrid w:linePitch="326"/>
        </w:sectPr>
      </w:pPr>
    </w:p>
    <w:p w14:paraId="53BA60EF" w14:textId="77777777" w:rsidR="007469BF" w:rsidRPr="004229C1" w:rsidRDefault="000B08A7">
      <w:pPr>
        <w:widowControl w:val="0"/>
        <w:autoSpaceDE w:val="0"/>
        <w:autoSpaceDN w:val="0"/>
        <w:adjustRightInd w:val="0"/>
        <w:spacing w:after="0" w:line="240" w:lineRule="auto"/>
        <w:rPr>
          <w:rFonts w:ascii="Times New Roman" w:hAnsi="Times New Roman" w:cs="Times New Roman"/>
          <w:b/>
          <w:bCs/>
          <w:kern w:val="0"/>
          <w:lang w:val="uk-UA"/>
        </w:rPr>
      </w:pPr>
      <w:r w:rsidRPr="004229C1">
        <w:rPr>
          <w:rFonts w:ascii="Times New Roman" w:hAnsi="Times New Roman" w:cs="Times New Roman"/>
          <w:b/>
          <w:bCs/>
          <w:kern w:val="0"/>
          <w:lang w:val="uk-UA"/>
        </w:rPr>
        <w:t>Частина 10. Інформація щодо порядку призначення/звільнення посадових осіб (крім ради та виконавчого органу) особи</w:t>
      </w:r>
    </w:p>
    <w:tbl>
      <w:tblPr>
        <w:tblW w:w="14624" w:type="dxa"/>
        <w:tblInd w:w="108" w:type="dxa"/>
        <w:tblCellMar>
          <w:left w:w="0" w:type="dxa"/>
          <w:right w:w="0" w:type="dxa"/>
        </w:tblCellMar>
        <w:tblLook w:val="04A0" w:firstRow="1" w:lastRow="0" w:firstColumn="1" w:lastColumn="0" w:noHBand="0" w:noVBand="1"/>
      </w:tblPr>
      <w:tblGrid>
        <w:gridCol w:w="1764"/>
        <w:gridCol w:w="4072"/>
        <w:gridCol w:w="5368"/>
        <w:gridCol w:w="3420"/>
      </w:tblGrid>
      <w:tr w:rsidR="008D4C2F" w:rsidRPr="004229C1" w14:paraId="35792116" w14:textId="77777777" w:rsidTr="00124344">
        <w:trPr>
          <w:trHeight w:val="200"/>
        </w:trPr>
        <w:tc>
          <w:tcPr>
            <w:tcW w:w="17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0A5295" w14:textId="77777777" w:rsidR="008D4C2F" w:rsidRPr="004229C1" w:rsidRDefault="008D4C2F" w:rsidP="00E3293A">
            <w:pPr>
              <w:spacing w:line="240" w:lineRule="auto"/>
              <w:jc w:val="both"/>
              <w:rPr>
                <w:rFonts w:ascii="Times New Roman" w:hAnsi="Times New Roman" w:cs="Times New Roman"/>
                <w:sz w:val="22"/>
                <w:szCs w:val="22"/>
                <w:lang w:val="uk-UA"/>
              </w:rPr>
            </w:pPr>
            <w:r w:rsidRPr="004229C1">
              <w:rPr>
                <w:rFonts w:ascii="Times New Roman" w:hAnsi="Times New Roman" w:cs="Times New Roman"/>
                <w:sz w:val="22"/>
                <w:szCs w:val="22"/>
                <w:lang w:val="uk-UA"/>
              </w:rPr>
              <w:t>Ім'я посадової особи</w:t>
            </w:r>
          </w:p>
        </w:tc>
        <w:tc>
          <w:tcPr>
            <w:tcW w:w="40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0ECDB6" w14:textId="77777777" w:rsidR="008D4C2F" w:rsidRPr="004229C1" w:rsidRDefault="008D4C2F" w:rsidP="00E3293A">
            <w:pPr>
              <w:spacing w:line="240" w:lineRule="auto"/>
              <w:jc w:val="both"/>
              <w:rPr>
                <w:rFonts w:ascii="Times New Roman" w:hAnsi="Times New Roman" w:cs="Times New Roman"/>
                <w:sz w:val="22"/>
                <w:szCs w:val="22"/>
                <w:lang w:val="uk-UA"/>
              </w:rPr>
            </w:pPr>
            <w:r w:rsidRPr="004229C1">
              <w:rPr>
                <w:rFonts w:ascii="Times New Roman" w:hAnsi="Times New Roman" w:cs="Times New Roman"/>
                <w:sz w:val="22"/>
                <w:szCs w:val="22"/>
                <w:lang w:val="uk-UA"/>
              </w:rPr>
              <w:t>Назва посади, назва органу, який прийняв рішення про призначення посадової особи, дата та номер рішення</w:t>
            </w:r>
          </w:p>
        </w:tc>
        <w:tc>
          <w:tcPr>
            <w:tcW w:w="53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2F67FB5" w14:textId="77777777" w:rsidR="008D4C2F" w:rsidRPr="004229C1" w:rsidRDefault="008D4C2F" w:rsidP="00E3293A">
            <w:pPr>
              <w:spacing w:line="240" w:lineRule="auto"/>
              <w:jc w:val="both"/>
              <w:rPr>
                <w:rFonts w:ascii="Times New Roman" w:hAnsi="Times New Roman" w:cs="Times New Roman"/>
                <w:sz w:val="22"/>
                <w:szCs w:val="22"/>
                <w:lang w:val="uk-UA"/>
              </w:rPr>
            </w:pPr>
            <w:r w:rsidRPr="004229C1">
              <w:rPr>
                <w:rFonts w:ascii="Times New Roman" w:hAnsi="Times New Roman" w:cs="Times New Roman"/>
                <w:sz w:val="22"/>
                <w:szCs w:val="22"/>
                <w:lang w:val="uk-UA"/>
              </w:rPr>
              <w:t>Опис ключових повноважень посадової особи</w:t>
            </w:r>
          </w:p>
        </w:tc>
        <w:tc>
          <w:tcPr>
            <w:tcW w:w="34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8E0C43" w14:textId="77777777" w:rsidR="008D4C2F" w:rsidRPr="004229C1" w:rsidRDefault="008D4C2F" w:rsidP="00E3293A">
            <w:pPr>
              <w:spacing w:line="240" w:lineRule="auto"/>
              <w:jc w:val="both"/>
              <w:rPr>
                <w:rFonts w:ascii="Times New Roman" w:hAnsi="Times New Roman" w:cs="Times New Roman"/>
                <w:sz w:val="22"/>
                <w:szCs w:val="22"/>
                <w:lang w:val="uk-UA"/>
              </w:rPr>
            </w:pPr>
            <w:r w:rsidRPr="004229C1">
              <w:rPr>
                <w:rFonts w:ascii="Times New Roman" w:hAnsi="Times New Roman" w:cs="Times New Roman"/>
                <w:sz w:val="22"/>
                <w:szCs w:val="22"/>
                <w:lang w:val="uk-UA"/>
              </w:rPr>
              <w:t>Порядок призначення та звільнення посадової особи</w:t>
            </w:r>
          </w:p>
        </w:tc>
      </w:tr>
      <w:tr w:rsidR="008D4C2F" w:rsidRPr="004229C1" w14:paraId="6E3F6D92" w14:textId="77777777" w:rsidTr="00124344">
        <w:trPr>
          <w:trHeight w:val="200"/>
        </w:trPr>
        <w:tc>
          <w:tcPr>
            <w:tcW w:w="17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70C0F"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Барановська Ганна </w:t>
            </w:r>
            <w:proofErr w:type="spellStart"/>
            <w:r w:rsidRPr="004229C1">
              <w:rPr>
                <w:rFonts w:ascii="Times New Roman" w:hAnsi="Times New Roman" w:cs="Times New Roman"/>
                <w:bCs/>
                <w:sz w:val="22"/>
                <w:szCs w:val="22"/>
                <w:lang w:val="uk-UA"/>
              </w:rPr>
              <w:t>Станiславiвна</w:t>
            </w:r>
            <w:proofErr w:type="spellEnd"/>
          </w:p>
        </w:tc>
        <w:tc>
          <w:tcPr>
            <w:tcW w:w="4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5A963E5D"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Головний бухгалтер-директор департаменту бухгалтерського </w:t>
            </w:r>
            <w:proofErr w:type="spellStart"/>
            <w:r w:rsidRPr="004229C1">
              <w:rPr>
                <w:rFonts w:ascii="Times New Roman" w:hAnsi="Times New Roman" w:cs="Times New Roman"/>
                <w:bCs/>
                <w:sz w:val="22"/>
                <w:szCs w:val="22"/>
                <w:lang w:val="uk-UA"/>
              </w:rPr>
              <w:t>облiку</w:t>
            </w:r>
            <w:proofErr w:type="spellEnd"/>
            <w:r w:rsidRPr="004229C1">
              <w:rPr>
                <w:rFonts w:ascii="Times New Roman" w:hAnsi="Times New Roman" w:cs="Times New Roman"/>
                <w:bCs/>
                <w:sz w:val="22"/>
                <w:szCs w:val="22"/>
                <w:lang w:val="uk-UA"/>
              </w:rPr>
              <w:t xml:space="preserve"> головного </w:t>
            </w:r>
            <w:proofErr w:type="spellStart"/>
            <w:r w:rsidRPr="004229C1">
              <w:rPr>
                <w:rFonts w:ascii="Times New Roman" w:hAnsi="Times New Roman" w:cs="Times New Roman"/>
                <w:bCs/>
                <w:sz w:val="22"/>
                <w:szCs w:val="22"/>
                <w:lang w:val="uk-UA"/>
              </w:rPr>
              <w:t>фiнансового</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управлiння</w:t>
            </w:r>
            <w:proofErr w:type="spellEnd"/>
            <w:r w:rsidRPr="004229C1">
              <w:rPr>
                <w:rFonts w:ascii="Times New Roman" w:hAnsi="Times New Roman" w:cs="Times New Roman"/>
                <w:bCs/>
                <w:sz w:val="22"/>
                <w:szCs w:val="22"/>
                <w:lang w:val="uk-UA"/>
              </w:rPr>
              <w:t>.</w:t>
            </w:r>
          </w:p>
          <w:p w14:paraId="50E3685A"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3F272B1F"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Призначення посадової особи колегіальним органом не передбачено.</w:t>
            </w:r>
          </w:p>
          <w:p w14:paraId="5CAE29B7"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single" w:sz="8" w:space="0" w:color="auto"/>
              <w:right w:val="single" w:sz="8" w:space="0" w:color="auto"/>
            </w:tcBorders>
            <w:tcMar>
              <w:top w:w="0" w:type="dxa"/>
              <w:left w:w="108" w:type="dxa"/>
              <w:bottom w:w="0" w:type="dxa"/>
              <w:right w:w="108" w:type="dxa"/>
            </w:tcMar>
            <w:vAlign w:val="center"/>
          </w:tcPr>
          <w:p w14:paraId="20832913"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Забезпечення </w:t>
            </w:r>
            <w:proofErr w:type="spellStart"/>
            <w:r w:rsidRPr="004229C1">
              <w:rPr>
                <w:rFonts w:ascii="Times New Roman" w:hAnsi="Times New Roman" w:cs="Times New Roman"/>
                <w:bCs/>
                <w:sz w:val="22"/>
                <w:szCs w:val="22"/>
                <w:lang w:val="uk-UA"/>
              </w:rPr>
              <w:t>органiзацiї</w:t>
            </w:r>
            <w:proofErr w:type="spellEnd"/>
            <w:r w:rsidRPr="004229C1">
              <w:rPr>
                <w:rFonts w:ascii="Times New Roman" w:hAnsi="Times New Roman" w:cs="Times New Roman"/>
                <w:bCs/>
                <w:sz w:val="22"/>
                <w:szCs w:val="22"/>
                <w:lang w:val="uk-UA"/>
              </w:rPr>
              <w:t xml:space="preserve"> та </w:t>
            </w:r>
          </w:p>
          <w:p w14:paraId="62CB7E57"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контролю бухгалтерського/</w:t>
            </w:r>
          </w:p>
          <w:p w14:paraId="33BAB18A"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податкового </w:t>
            </w:r>
            <w:proofErr w:type="spellStart"/>
            <w:r w:rsidRPr="004229C1">
              <w:rPr>
                <w:rFonts w:ascii="Times New Roman" w:hAnsi="Times New Roman" w:cs="Times New Roman"/>
                <w:bCs/>
                <w:sz w:val="22"/>
                <w:szCs w:val="22"/>
                <w:lang w:val="uk-UA"/>
              </w:rPr>
              <w:t>облiку</w:t>
            </w:r>
            <w:proofErr w:type="spellEnd"/>
            <w:r w:rsidRPr="004229C1">
              <w:rPr>
                <w:rFonts w:ascii="Times New Roman" w:hAnsi="Times New Roman" w:cs="Times New Roman"/>
                <w:bCs/>
                <w:sz w:val="22"/>
                <w:szCs w:val="22"/>
                <w:lang w:val="uk-UA"/>
              </w:rPr>
              <w:t xml:space="preserve"> та </w:t>
            </w:r>
            <w:proofErr w:type="spellStart"/>
            <w:r w:rsidRPr="004229C1">
              <w:rPr>
                <w:rFonts w:ascii="Times New Roman" w:hAnsi="Times New Roman" w:cs="Times New Roman"/>
                <w:bCs/>
                <w:sz w:val="22"/>
                <w:szCs w:val="22"/>
                <w:lang w:val="uk-UA"/>
              </w:rPr>
              <w:t>звiтностi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звiтностi</w:t>
            </w:r>
            <w:proofErr w:type="spellEnd"/>
            <w:r w:rsidRPr="004229C1">
              <w:rPr>
                <w:rFonts w:ascii="Times New Roman" w:hAnsi="Times New Roman" w:cs="Times New Roman"/>
                <w:bCs/>
                <w:sz w:val="22"/>
                <w:szCs w:val="22"/>
                <w:lang w:val="uk-UA"/>
              </w:rPr>
              <w:t xml:space="preserve"> до ФГВФГ. </w:t>
            </w:r>
            <w:proofErr w:type="spellStart"/>
            <w:r w:rsidRPr="004229C1">
              <w:rPr>
                <w:rFonts w:ascii="Times New Roman" w:hAnsi="Times New Roman" w:cs="Times New Roman"/>
                <w:bCs/>
                <w:sz w:val="22"/>
                <w:szCs w:val="22"/>
                <w:lang w:val="uk-UA"/>
              </w:rPr>
              <w:t>Основнi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функцiональнi</w:t>
            </w:r>
            <w:proofErr w:type="spellEnd"/>
            <w:r w:rsidRPr="004229C1">
              <w:rPr>
                <w:rFonts w:ascii="Times New Roman" w:hAnsi="Times New Roman" w:cs="Times New Roman"/>
                <w:bCs/>
                <w:sz w:val="22"/>
                <w:szCs w:val="22"/>
                <w:lang w:val="uk-UA"/>
              </w:rPr>
              <w:t xml:space="preserve"> обов'язки </w:t>
            </w:r>
            <w:proofErr w:type="spellStart"/>
            <w:r w:rsidRPr="004229C1">
              <w:rPr>
                <w:rFonts w:ascii="Times New Roman" w:hAnsi="Times New Roman" w:cs="Times New Roman"/>
                <w:bCs/>
                <w:sz w:val="22"/>
                <w:szCs w:val="22"/>
                <w:lang w:val="uk-UA"/>
              </w:rPr>
              <w:t>викладенi</w:t>
            </w:r>
            <w:proofErr w:type="spellEnd"/>
            <w:r w:rsidRPr="004229C1">
              <w:rPr>
                <w:rFonts w:ascii="Times New Roman" w:hAnsi="Times New Roman" w:cs="Times New Roman"/>
                <w:bCs/>
                <w:sz w:val="22"/>
                <w:szCs w:val="22"/>
                <w:lang w:val="uk-UA"/>
              </w:rPr>
              <w:t xml:space="preserve"> в </w:t>
            </w:r>
            <w:proofErr w:type="spellStart"/>
            <w:r w:rsidRPr="004229C1">
              <w:rPr>
                <w:rFonts w:ascii="Times New Roman" w:hAnsi="Times New Roman" w:cs="Times New Roman"/>
                <w:bCs/>
                <w:sz w:val="22"/>
                <w:szCs w:val="22"/>
                <w:lang w:val="uk-UA"/>
              </w:rPr>
              <w:t>типовiй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посадовiй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iнструкцiї</w:t>
            </w:r>
            <w:proofErr w:type="spellEnd"/>
            <w:r w:rsidRPr="004229C1">
              <w:rPr>
                <w:rFonts w:ascii="Times New Roman" w:hAnsi="Times New Roman" w:cs="Times New Roman"/>
                <w:bCs/>
                <w:sz w:val="22"/>
                <w:szCs w:val="22"/>
                <w:lang w:val="uk-UA"/>
              </w:rPr>
              <w:t xml:space="preserve"> </w:t>
            </w:r>
          </w:p>
        </w:tc>
        <w:tc>
          <w:tcPr>
            <w:tcW w:w="34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39BE1F"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Призначається на посаду та </w:t>
            </w:r>
            <w:proofErr w:type="spellStart"/>
            <w:r w:rsidRPr="004229C1">
              <w:rPr>
                <w:rFonts w:ascii="Times New Roman" w:hAnsi="Times New Roman" w:cs="Times New Roman"/>
                <w:bCs/>
                <w:sz w:val="22"/>
                <w:szCs w:val="22"/>
                <w:lang w:val="uk-UA"/>
              </w:rPr>
              <w:t>звiльняється</w:t>
            </w:r>
            <w:proofErr w:type="spellEnd"/>
            <w:r w:rsidRPr="004229C1">
              <w:rPr>
                <w:rFonts w:ascii="Times New Roman" w:hAnsi="Times New Roman" w:cs="Times New Roman"/>
                <w:bCs/>
                <w:sz w:val="22"/>
                <w:szCs w:val="22"/>
                <w:lang w:val="uk-UA"/>
              </w:rPr>
              <w:t xml:space="preserve"> з посади Головою </w:t>
            </w:r>
            <w:proofErr w:type="spellStart"/>
            <w:r w:rsidRPr="004229C1">
              <w:rPr>
                <w:rFonts w:ascii="Times New Roman" w:hAnsi="Times New Roman" w:cs="Times New Roman"/>
                <w:bCs/>
                <w:sz w:val="22"/>
                <w:szCs w:val="22"/>
                <w:lang w:val="uk-UA"/>
              </w:rPr>
              <w:t>Правлiння</w:t>
            </w:r>
            <w:proofErr w:type="spellEnd"/>
            <w:r w:rsidRPr="004229C1">
              <w:rPr>
                <w:rFonts w:ascii="Times New Roman" w:hAnsi="Times New Roman" w:cs="Times New Roman"/>
                <w:bCs/>
                <w:sz w:val="22"/>
                <w:szCs w:val="22"/>
                <w:lang w:val="uk-UA"/>
              </w:rPr>
              <w:t xml:space="preserve"> Банку шляхом оформлення наказу </w:t>
            </w:r>
            <w:proofErr w:type="spellStart"/>
            <w:r w:rsidRPr="004229C1">
              <w:rPr>
                <w:rFonts w:ascii="Times New Roman" w:hAnsi="Times New Roman" w:cs="Times New Roman"/>
                <w:bCs/>
                <w:sz w:val="22"/>
                <w:szCs w:val="22"/>
                <w:lang w:val="uk-UA"/>
              </w:rPr>
              <w:t>вiдповiдно</w:t>
            </w:r>
            <w:proofErr w:type="spellEnd"/>
            <w:r w:rsidRPr="004229C1">
              <w:rPr>
                <w:rFonts w:ascii="Times New Roman" w:hAnsi="Times New Roman" w:cs="Times New Roman"/>
                <w:bCs/>
                <w:sz w:val="22"/>
                <w:szCs w:val="22"/>
                <w:lang w:val="uk-UA"/>
              </w:rPr>
              <w:t xml:space="preserve"> до трудового законодавства України.</w:t>
            </w:r>
          </w:p>
        </w:tc>
      </w:tr>
      <w:tr w:rsidR="008D4C2F" w:rsidRPr="004229C1" w14:paraId="22E9B58C" w14:textId="77777777" w:rsidTr="00124344">
        <w:trPr>
          <w:trHeight w:val="200"/>
        </w:trPr>
        <w:tc>
          <w:tcPr>
            <w:tcW w:w="1764"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125B70BB" w14:textId="77777777" w:rsidR="008D4C2F" w:rsidRPr="004229C1" w:rsidRDefault="008D4C2F" w:rsidP="00E3293A">
            <w:pPr>
              <w:spacing w:line="240" w:lineRule="auto"/>
              <w:jc w:val="both"/>
              <w:rPr>
                <w:rFonts w:ascii="Times New Roman" w:hAnsi="Times New Roman" w:cs="Times New Roman"/>
                <w:b/>
                <w:bCs/>
                <w:sz w:val="22"/>
                <w:szCs w:val="22"/>
                <w:lang w:val="uk-UA"/>
              </w:rPr>
            </w:pPr>
            <w:proofErr w:type="spellStart"/>
            <w:r w:rsidRPr="004229C1">
              <w:rPr>
                <w:rFonts w:ascii="Times New Roman" w:hAnsi="Times New Roman" w:cs="Times New Roman"/>
                <w:bCs/>
                <w:sz w:val="22"/>
                <w:szCs w:val="22"/>
                <w:lang w:val="uk-UA"/>
              </w:rPr>
              <w:t>Дмитрiєва</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Анастасiя</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Олександрiвна</w:t>
            </w:r>
            <w:proofErr w:type="spellEnd"/>
          </w:p>
        </w:tc>
        <w:tc>
          <w:tcPr>
            <w:tcW w:w="4072" w:type="dxa"/>
            <w:tcBorders>
              <w:top w:val="nil"/>
              <w:left w:val="nil"/>
              <w:bottom w:val="nil"/>
              <w:right w:val="single" w:sz="8" w:space="0" w:color="auto"/>
            </w:tcBorders>
            <w:tcMar>
              <w:top w:w="0" w:type="dxa"/>
              <w:left w:w="108" w:type="dxa"/>
              <w:bottom w:w="0" w:type="dxa"/>
              <w:right w:w="108" w:type="dxa"/>
            </w:tcMar>
            <w:vAlign w:val="center"/>
          </w:tcPr>
          <w:p w14:paraId="59005E9E"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Корпоративний секретар департаменту юридичної </w:t>
            </w:r>
            <w:proofErr w:type="spellStart"/>
            <w:r w:rsidRPr="004229C1">
              <w:rPr>
                <w:rFonts w:ascii="Times New Roman" w:hAnsi="Times New Roman" w:cs="Times New Roman"/>
                <w:bCs/>
                <w:sz w:val="22"/>
                <w:szCs w:val="22"/>
                <w:lang w:val="uk-UA"/>
              </w:rPr>
              <w:t>пiдтримки</w:t>
            </w:r>
            <w:proofErr w:type="spellEnd"/>
            <w:r w:rsidRPr="004229C1">
              <w:rPr>
                <w:rFonts w:ascii="Times New Roman" w:hAnsi="Times New Roman" w:cs="Times New Roman"/>
                <w:bCs/>
                <w:sz w:val="22"/>
                <w:szCs w:val="22"/>
                <w:lang w:val="uk-UA"/>
              </w:rPr>
              <w:t xml:space="preserve"> та генерального </w:t>
            </w:r>
            <w:proofErr w:type="spellStart"/>
            <w:r w:rsidRPr="004229C1">
              <w:rPr>
                <w:rFonts w:ascii="Times New Roman" w:hAnsi="Times New Roman" w:cs="Times New Roman"/>
                <w:bCs/>
                <w:sz w:val="22"/>
                <w:szCs w:val="22"/>
                <w:lang w:val="uk-UA"/>
              </w:rPr>
              <w:t>секретарiату</w:t>
            </w:r>
            <w:proofErr w:type="spellEnd"/>
          </w:p>
          <w:p w14:paraId="7E3AC570"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2FB54510"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Протокол Наглядової Ради №9_21 від 29 червня 2021 року, питання 10 порядку денного</w:t>
            </w:r>
          </w:p>
          <w:p w14:paraId="58273587"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733D5727"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31 січня 2024 року – звільнена з посади за власним бажанням</w:t>
            </w:r>
          </w:p>
          <w:p w14:paraId="13456E94"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nil"/>
              <w:right w:val="single" w:sz="8" w:space="0" w:color="auto"/>
            </w:tcBorders>
            <w:tcMar>
              <w:top w:w="0" w:type="dxa"/>
              <w:left w:w="108" w:type="dxa"/>
              <w:bottom w:w="0" w:type="dxa"/>
              <w:right w:w="108" w:type="dxa"/>
            </w:tcMar>
            <w:vAlign w:val="center"/>
          </w:tcPr>
          <w:p w14:paraId="69AFDD88" w14:textId="77777777" w:rsidR="008D4C2F" w:rsidRPr="004229C1" w:rsidRDefault="008D4C2F" w:rsidP="00E3293A">
            <w:pPr>
              <w:spacing w:line="240" w:lineRule="auto"/>
              <w:jc w:val="both"/>
              <w:rPr>
                <w:rFonts w:ascii="Times New Roman" w:hAnsi="Times New Roman" w:cs="Times New Roman"/>
                <w:b/>
                <w:bCs/>
                <w:sz w:val="22"/>
                <w:szCs w:val="22"/>
                <w:lang w:val="uk-UA"/>
              </w:rPr>
            </w:pPr>
            <w:proofErr w:type="spellStart"/>
            <w:r w:rsidRPr="004229C1">
              <w:rPr>
                <w:rFonts w:ascii="Times New Roman" w:hAnsi="Times New Roman" w:cs="Times New Roman"/>
                <w:bCs/>
                <w:sz w:val="22"/>
                <w:szCs w:val="22"/>
                <w:lang w:val="uk-UA"/>
              </w:rPr>
              <w:t>Здiйснює</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управлiння</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адмiнiстративною</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дiяльнiстю</w:t>
            </w:r>
            <w:proofErr w:type="spellEnd"/>
            <w:r w:rsidRPr="004229C1">
              <w:rPr>
                <w:rFonts w:ascii="Times New Roman" w:hAnsi="Times New Roman" w:cs="Times New Roman"/>
                <w:bCs/>
                <w:sz w:val="22"/>
                <w:szCs w:val="22"/>
                <w:lang w:val="uk-UA"/>
              </w:rPr>
              <w:t xml:space="preserve">, пов'язаною з загальними зборами </w:t>
            </w:r>
            <w:proofErr w:type="spellStart"/>
            <w:r w:rsidRPr="004229C1">
              <w:rPr>
                <w:rFonts w:ascii="Times New Roman" w:hAnsi="Times New Roman" w:cs="Times New Roman"/>
                <w:bCs/>
                <w:sz w:val="22"/>
                <w:szCs w:val="22"/>
                <w:lang w:val="uk-UA"/>
              </w:rPr>
              <w:t>акцiонерiв</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засiданнями</w:t>
            </w:r>
            <w:proofErr w:type="spellEnd"/>
            <w:r w:rsidRPr="004229C1">
              <w:rPr>
                <w:rFonts w:ascii="Times New Roman" w:hAnsi="Times New Roman" w:cs="Times New Roman"/>
                <w:bCs/>
                <w:sz w:val="22"/>
                <w:szCs w:val="22"/>
                <w:lang w:val="uk-UA"/>
              </w:rPr>
              <w:t xml:space="preserve"> Наглядової Ради Банку, </w:t>
            </w:r>
            <w:proofErr w:type="spellStart"/>
            <w:r w:rsidRPr="004229C1">
              <w:rPr>
                <w:rFonts w:ascii="Times New Roman" w:hAnsi="Times New Roman" w:cs="Times New Roman"/>
                <w:bCs/>
                <w:sz w:val="22"/>
                <w:szCs w:val="22"/>
                <w:lang w:val="uk-UA"/>
              </w:rPr>
              <w:t>комiтетiв</w:t>
            </w:r>
            <w:proofErr w:type="spellEnd"/>
            <w:r w:rsidRPr="004229C1">
              <w:rPr>
                <w:rFonts w:ascii="Times New Roman" w:hAnsi="Times New Roman" w:cs="Times New Roman"/>
                <w:bCs/>
                <w:sz w:val="22"/>
                <w:szCs w:val="22"/>
                <w:lang w:val="uk-UA"/>
              </w:rPr>
              <w:t xml:space="preserve"> Наглядової Ради Банку та </w:t>
            </w:r>
            <w:proofErr w:type="spellStart"/>
            <w:r w:rsidRPr="004229C1">
              <w:rPr>
                <w:rFonts w:ascii="Times New Roman" w:hAnsi="Times New Roman" w:cs="Times New Roman"/>
                <w:bCs/>
                <w:sz w:val="22"/>
                <w:szCs w:val="22"/>
                <w:lang w:val="uk-UA"/>
              </w:rPr>
              <w:t>Правлiння</w:t>
            </w:r>
            <w:proofErr w:type="spellEnd"/>
            <w:r w:rsidRPr="004229C1">
              <w:rPr>
                <w:rFonts w:ascii="Times New Roman" w:hAnsi="Times New Roman" w:cs="Times New Roman"/>
                <w:bCs/>
                <w:sz w:val="22"/>
                <w:szCs w:val="22"/>
                <w:lang w:val="uk-UA"/>
              </w:rPr>
              <w:t xml:space="preserve"> Банку та комітетів Правління Банку.</w:t>
            </w:r>
          </w:p>
          <w:p w14:paraId="1AD2AC56"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Надає юридичну </w:t>
            </w:r>
            <w:proofErr w:type="spellStart"/>
            <w:r w:rsidRPr="004229C1">
              <w:rPr>
                <w:rFonts w:ascii="Times New Roman" w:hAnsi="Times New Roman" w:cs="Times New Roman"/>
                <w:bCs/>
                <w:sz w:val="22"/>
                <w:szCs w:val="22"/>
                <w:lang w:val="uk-UA"/>
              </w:rPr>
              <w:t>пiдтримку</w:t>
            </w:r>
            <w:proofErr w:type="spellEnd"/>
            <w:r w:rsidRPr="004229C1">
              <w:rPr>
                <w:rFonts w:ascii="Times New Roman" w:hAnsi="Times New Roman" w:cs="Times New Roman"/>
                <w:bCs/>
                <w:sz w:val="22"/>
                <w:szCs w:val="22"/>
                <w:lang w:val="uk-UA"/>
              </w:rPr>
              <w:t xml:space="preserve"> у </w:t>
            </w:r>
            <w:proofErr w:type="spellStart"/>
            <w:r w:rsidRPr="004229C1">
              <w:rPr>
                <w:rFonts w:ascii="Times New Roman" w:hAnsi="Times New Roman" w:cs="Times New Roman"/>
                <w:bCs/>
                <w:sz w:val="22"/>
                <w:szCs w:val="22"/>
                <w:lang w:val="uk-UA"/>
              </w:rPr>
              <w:t>сферi</w:t>
            </w:r>
            <w:proofErr w:type="spellEnd"/>
            <w:r w:rsidRPr="004229C1">
              <w:rPr>
                <w:rFonts w:ascii="Times New Roman" w:hAnsi="Times New Roman" w:cs="Times New Roman"/>
                <w:bCs/>
                <w:sz w:val="22"/>
                <w:szCs w:val="22"/>
                <w:lang w:val="uk-UA"/>
              </w:rPr>
              <w:t xml:space="preserve"> корпоративного </w:t>
            </w:r>
            <w:proofErr w:type="spellStart"/>
            <w:r w:rsidRPr="004229C1">
              <w:rPr>
                <w:rFonts w:ascii="Times New Roman" w:hAnsi="Times New Roman" w:cs="Times New Roman"/>
                <w:bCs/>
                <w:sz w:val="22"/>
                <w:szCs w:val="22"/>
                <w:lang w:val="uk-UA"/>
              </w:rPr>
              <w:t>управлiння</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колегiальним</w:t>
            </w:r>
            <w:proofErr w:type="spellEnd"/>
            <w:r w:rsidRPr="004229C1">
              <w:rPr>
                <w:rFonts w:ascii="Times New Roman" w:hAnsi="Times New Roman" w:cs="Times New Roman"/>
                <w:bCs/>
                <w:sz w:val="22"/>
                <w:szCs w:val="22"/>
                <w:lang w:val="uk-UA"/>
              </w:rPr>
              <w:t xml:space="preserve"> органам Банку. </w:t>
            </w:r>
            <w:proofErr w:type="spellStart"/>
            <w:r w:rsidRPr="004229C1">
              <w:rPr>
                <w:rFonts w:ascii="Times New Roman" w:hAnsi="Times New Roman" w:cs="Times New Roman"/>
                <w:bCs/>
                <w:sz w:val="22"/>
                <w:szCs w:val="22"/>
                <w:lang w:val="uk-UA"/>
              </w:rPr>
              <w:t>Основнi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функцiональнi</w:t>
            </w:r>
            <w:proofErr w:type="spellEnd"/>
            <w:r w:rsidRPr="004229C1">
              <w:rPr>
                <w:rFonts w:ascii="Times New Roman" w:hAnsi="Times New Roman" w:cs="Times New Roman"/>
                <w:bCs/>
                <w:sz w:val="22"/>
                <w:szCs w:val="22"/>
                <w:lang w:val="uk-UA"/>
              </w:rPr>
              <w:t xml:space="preserve"> обов'язки </w:t>
            </w:r>
            <w:proofErr w:type="spellStart"/>
            <w:r w:rsidRPr="004229C1">
              <w:rPr>
                <w:rFonts w:ascii="Times New Roman" w:hAnsi="Times New Roman" w:cs="Times New Roman"/>
                <w:bCs/>
                <w:sz w:val="22"/>
                <w:szCs w:val="22"/>
                <w:lang w:val="uk-UA"/>
              </w:rPr>
              <w:t>викладенi</w:t>
            </w:r>
            <w:proofErr w:type="spellEnd"/>
            <w:r w:rsidRPr="004229C1">
              <w:rPr>
                <w:rFonts w:ascii="Times New Roman" w:hAnsi="Times New Roman" w:cs="Times New Roman"/>
                <w:bCs/>
                <w:sz w:val="22"/>
                <w:szCs w:val="22"/>
                <w:lang w:val="uk-UA"/>
              </w:rPr>
              <w:t xml:space="preserve"> в </w:t>
            </w:r>
            <w:proofErr w:type="spellStart"/>
            <w:r w:rsidRPr="004229C1">
              <w:rPr>
                <w:rFonts w:ascii="Times New Roman" w:hAnsi="Times New Roman" w:cs="Times New Roman"/>
                <w:bCs/>
                <w:sz w:val="22"/>
                <w:szCs w:val="22"/>
                <w:lang w:val="uk-UA"/>
              </w:rPr>
              <w:t>посадовiй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iнструкцiї</w:t>
            </w:r>
            <w:proofErr w:type="spellEnd"/>
            <w:r w:rsidRPr="004229C1">
              <w:rPr>
                <w:rFonts w:ascii="Times New Roman" w:hAnsi="Times New Roman" w:cs="Times New Roman"/>
                <w:bCs/>
                <w:sz w:val="22"/>
                <w:szCs w:val="22"/>
                <w:lang w:val="uk-UA"/>
              </w:rPr>
              <w:t>, Положенні про корпоративного секретаря, Положенні про Наглядову Раду.</w:t>
            </w:r>
          </w:p>
          <w:p w14:paraId="1F2A115F"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3420" w:type="dxa"/>
            <w:tcBorders>
              <w:top w:val="nil"/>
              <w:left w:val="nil"/>
              <w:bottom w:val="nil"/>
              <w:right w:val="single" w:sz="8" w:space="0" w:color="auto"/>
            </w:tcBorders>
            <w:tcMar>
              <w:top w:w="0" w:type="dxa"/>
              <w:left w:w="108" w:type="dxa"/>
              <w:bottom w:w="0" w:type="dxa"/>
              <w:right w:w="108" w:type="dxa"/>
            </w:tcMar>
            <w:vAlign w:val="center"/>
          </w:tcPr>
          <w:p w14:paraId="2BE930D8"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Призначається на посаду на підставі рішення Наглядової Ради шляхом оформлення наказу з урахуванням трудового законодавства. Звільняється з посади шляхом оформлення наказу </w:t>
            </w:r>
            <w:proofErr w:type="spellStart"/>
            <w:r w:rsidRPr="004229C1">
              <w:rPr>
                <w:rFonts w:ascii="Times New Roman" w:hAnsi="Times New Roman" w:cs="Times New Roman"/>
                <w:bCs/>
                <w:sz w:val="22"/>
                <w:szCs w:val="22"/>
                <w:lang w:val="uk-UA"/>
              </w:rPr>
              <w:t>вiдповiдно</w:t>
            </w:r>
            <w:proofErr w:type="spellEnd"/>
            <w:r w:rsidRPr="004229C1">
              <w:rPr>
                <w:rFonts w:ascii="Times New Roman" w:hAnsi="Times New Roman" w:cs="Times New Roman"/>
                <w:bCs/>
                <w:sz w:val="22"/>
                <w:szCs w:val="22"/>
                <w:lang w:val="uk-UA"/>
              </w:rPr>
              <w:t xml:space="preserve"> до трудового законодавства України або на підставі рішення Наглядової Ради</w:t>
            </w:r>
          </w:p>
          <w:p w14:paraId="2C03A550"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r>
      <w:tr w:rsidR="008D4C2F" w:rsidRPr="004229C1" w14:paraId="1ABE81A8" w14:textId="77777777" w:rsidTr="00124344">
        <w:trPr>
          <w:trHeight w:val="70"/>
        </w:trPr>
        <w:tc>
          <w:tcPr>
            <w:tcW w:w="17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E67A45"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4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76EDB508"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single" w:sz="8" w:space="0" w:color="auto"/>
              <w:right w:val="single" w:sz="8" w:space="0" w:color="auto"/>
            </w:tcBorders>
            <w:tcMar>
              <w:top w:w="0" w:type="dxa"/>
              <w:left w:w="108" w:type="dxa"/>
              <w:bottom w:w="0" w:type="dxa"/>
              <w:right w:w="108" w:type="dxa"/>
            </w:tcMar>
            <w:vAlign w:val="center"/>
          </w:tcPr>
          <w:p w14:paraId="1846D970"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3420" w:type="dxa"/>
            <w:tcBorders>
              <w:top w:val="nil"/>
              <w:left w:val="nil"/>
              <w:bottom w:val="single" w:sz="8" w:space="0" w:color="auto"/>
              <w:right w:val="single" w:sz="8" w:space="0" w:color="auto"/>
            </w:tcBorders>
            <w:tcMar>
              <w:top w:w="0" w:type="dxa"/>
              <w:left w:w="108" w:type="dxa"/>
              <w:bottom w:w="0" w:type="dxa"/>
              <w:right w:w="108" w:type="dxa"/>
            </w:tcMar>
            <w:vAlign w:val="center"/>
          </w:tcPr>
          <w:p w14:paraId="711055F5"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r>
      <w:tr w:rsidR="008D4C2F" w:rsidRPr="004229C1" w14:paraId="2EE11096" w14:textId="77777777" w:rsidTr="00124344">
        <w:trPr>
          <w:trHeight w:val="200"/>
        </w:trPr>
        <w:tc>
          <w:tcPr>
            <w:tcW w:w="17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80C201"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Федорова Дар'я </w:t>
            </w:r>
            <w:proofErr w:type="spellStart"/>
            <w:r w:rsidRPr="004229C1">
              <w:rPr>
                <w:rFonts w:ascii="Times New Roman" w:hAnsi="Times New Roman" w:cs="Times New Roman"/>
                <w:bCs/>
                <w:sz w:val="22"/>
                <w:szCs w:val="22"/>
                <w:lang w:val="uk-UA"/>
              </w:rPr>
              <w:t>Анатолiївна</w:t>
            </w:r>
            <w:proofErr w:type="spellEnd"/>
          </w:p>
        </w:tc>
        <w:tc>
          <w:tcPr>
            <w:tcW w:w="4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7B9F6E23"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Корпоративний секретар департаменту юридичної </w:t>
            </w:r>
            <w:proofErr w:type="spellStart"/>
            <w:r w:rsidRPr="004229C1">
              <w:rPr>
                <w:rFonts w:ascii="Times New Roman" w:hAnsi="Times New Roman" w:cs="Times New Roman"/>
                <w:bCs/>
                <w:sz w:val="22"/>
                <w:szCs w:val="22"/>
                <w:lang w:val="uk-UA"/>
              </w:rPr>
              <w:t>пiдтримки</w:t>
            </w:r>
            <w:proofErr w:type="spellEnd"/>
            <w:r w:rsidRPr="004229C1">
              <w:rPr>
                <w:rFonts w:ascii="Times New Roman" w:hAnsi="Times New Roman" w:cs="Times New Roman"/>
                <w:bCs/>
                <w:sz w:val="22"/>
                <w:szCs w:val="22"/>
                <w:lang w:val="uk-UA"/>
              </w:rPr>
              <w:t xml:space="preserve"> та генерального </w:t>
            </w:r>
            <w:proofErr w:type="spellStart"/>
            <w:r w:rsidRPr="004229C1">
              <w:rPr>
                <w:rFonts w:ascii="Times New Roman" w:hAnsi="Times New Roman" w:cs="Times New Roman"/>
                <w:bCs/>
                <w:sz w:val="22"/>
                <w:szCs w:val="22"/>
                <w:lang w:val="uk-UA"/>
              </w:rPr>
              <w:t>секретарiату</w:t>
            </w:r>
            <w:proofErr w:type="spellEnd"/>
          </w:p>
          <w:p w14:paraId="2E512363"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79C74B60"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Протокол Наглядової Ради №5_24 від 01 березня 2024 року, питання 5 порядку денного </w:t>
            </w:r>
          </w:p>
          <w:p w14:paraId="6DA3ADD7"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3B50F6A2"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01 березня 2024 року по 02 червня </w:t>
            </w:r>
            <w:r w:rsidRPr="004229C1" w:rsidDel="004B0FC4">
              <w:rPr>
                <w:rFonts w:ascii="Times New Roman" w:hAnsi="Times New Roman" w:cs="Times New Roman"/>
                <w:bCs/>
                <w:sz w:val="22"/>
                <w:szCs w:val="22"/>
                <w:lang w:val="uk-UA"/>
              </w:rPr>
              <w:t xml:space="preserve"> </w:t>
            </w:r>
            <w:r w:rsidRPr="004229C1">
              <w:rPr>
                <w:rFonts w:ascii="Times New Roman" w:hAnsi="Times New Roman" w:cs="Times New Roman"/>
                <w:bCs/>
                <w:sz w:val="22"/>
                <w:szCs w:val="22"/>
                <w:lang w:val="uk-UA"/>
              </w:rPr>
              <w:t>2024 року</w:t>
            </w:r>
          </w:p>
          <w:p w14:paraId="2C12837D"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в.о. корпоративного секретаря департаменту юридичної </w:t>
            </w:r>
            <w:proofErr w:type="spellStart"/>
            <w:r w:rsidRPr="004229C1">
              <w:rPr>
                <w:rFonts w:ascii="Times New Roman" w:hAnsi="Times New Roman" w:cs="Times New Roman"/>
                <w:bCs/>
                <w:sz w:val="22"/>
                <w:szCs w:val="22"/>
                <w:lang w:val="uk-UA"/>
              </w:rPr>
              <w:t>пiдтримки</w:t>
            </w:r>
            <w:proofErr w:type="spellEnd"/>
            <w:r w:rsidRPr="004229C1">
              <w:rPr>
                <w:rFonts w:ascii="Times New Roman" w:hAnsi="Times New Roman" w:cs="Times New Roman"/>
                <w:bCs/>
                <w:sz w:val="22"/>
                <w:szCs w:val="22"/>
                <w:lang w:val="uk-UA"/>
              </w:rPr>
              <w:t xml:space="preserve"> та генерального </w:t>
            </w:r>
            <w:proofErr w:type="spellStart"/>
            <w:r w:rsidRPr="004229C1">
              <w:rPr>
                <w:rFonts w:ascii="Times New Roman" w:hAnsi="Times New Roman" w:cs="Times New Roman"/>
                <w:bCs/>
                <w:sz w:val="22"/>
                <w:szCs w:val="22"/>
                <w:lang w:val="uk-UA"/>
              </w:rPr>
              <w:t>секретарiату</w:t>
            </w:r>
            <w:proofErr w:type="spellEnd"/>
          </w:p>
          <w:p w14:paraId="5D4B15B2"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248C2BDA"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single" w:sz="8" w:space="0" w:color="auto"/>
              <w:right w:val="single" w:sz="8" w:space="0" w:color="auto"/>
            </w:tcBorders>
            <w:tcMar>
              <w:top w:w="0" w:type="dxa"/>
              <w:left w:w="108" w:type="dxa"/>
              <w:bottom w:w="0" w:type="dxa"/>
              <w:right w:w="108" w:type="dxa"/>
            </w:tcMar>
            <w:vAlign w:val="center"/>
          </w:tcPr>
          <w:p w14:paraId="307B0A09" w14:textId="77777777" w:rsidR="008D4C2F" w:rsidRPr="004229C1" w:rsidRDefault="008D4C2F" w:rsidP="00E3293A">
            <w:pPr>
              <w:spacing w:line="240" w:lineRule="auto"/>
              <w:jc w:val="both"/>
              <w:rPr>
                <w:rFonts w:ascii="Times New Roman" w:hAnsi="Times New Roman" w:cs="Times New Roman"/>
                <w:b/>
                <w:bCs/>
                <w:sz w:val="22"/>
                <w:szCs w:val="22"/>
                <w:lang w:val="uk-UA"/>
              </w:rPr>
            </w:pPr>
            <w:proofErr w:type="spellStart"/>
            <w:r w:rsidRPr="004229C1">
              <w:rPr>
                <w:rFonts w:ascii="Times New Roman" w:hAnsi="Times New Roman" w:cs="Times New Roman"/>
                <w:bCs/>
                <w:sz w:val="22"/>
                <w:szCs w:val="22"/>
                <w:lang w:val="uk-UA"/>
              </w:rPr>
              <w:t>Здiйснює</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управлiння</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адмiнiстративною</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дiяльнiстю</w:t>
            </w:r>
            <w:proofErr w:type="spellEnd"/>
            <w:r w:rsidRPr="004229C1">
              <w:rPr>
                <w:rFonts w:ascii="Times New Roman" w:hAnsi="Times New Roman" w:cs="Times New Roman"/>
                <w:bCs/>
                <w:sz w:val="22"/>
                <w:szCs w:val="22"/>
                <w:lang w:val="uk-UA"/>
              </w:rPr>
              <w:t xml:space="preserve">, пов'язаною з загальними зборами </w:t>
            </w:r>
            <w:proofErr w:type="spellStart"/>
            <w:r w:rsidRPr="004229C1">
              <w:rPr>
                <w:rFonts w:ascii="Times New Roman" w:hAnsi="Times New Roman" w:cs="Times New Roman"/>
                <w:bCs/>
                <w:sz w:val="22"/>
                <w:szCs w:val="22"/>
                <w:lang w:val="uk-UA"/>
              </w:rPr>
              <w:t>акцiонерiв</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засiданнями</w:t>
            </w:r>
            <w:proofErr w:type="spellEnd"/>
            <w:r w:rsidRPr="004229C1">
              <w:rPr>
                <w:rFonts w:ascii="Times New Roman" w:hAnsi="Times New Roman" w:cs="Times New Roman"/>
                <w:bCs/>
                <w:sz w:val="22"/>
                <w:szCs w:val="22"/>
                <w:lang w:val="uk-UA"/>
              </w:rPr>
              <w:t xml:space="preserve"> Наглядової Ради Банку, </w:t>
            </w:r>
            <w:proofErr w:type="spellStart"/>
            <w:r w:rsidRPr="004229C1">
              <w:rPr>
                <w:rFonts w:ascii="Times New Roman" w:hAnsi="Times New Roman" w:cs="Times New Roman"/>
                <w:bCs/>
                <w:sz w:val="22"/>
                <w:szCs w:val="22"/>
                <w:lang w:val="uk-UA"/>
              </w:rPr>
              <w:t>комiтетiв</w:t>
            </w:r>
            <w:proofErr w:type="spellEnd"/>
            <w:r w:rsidRPr="004229C1">
              <w:rPr>
                <w:rFonts w:ascii="Times New Roman" w:hAnsi="Times New Roman" w:cs="Times New Roman"/>
                <w:bCs/>
                <w:sz w:val="22"/>
                <w:szCs w:val="22"/>
                <w:lang w:val="uk-UA"/>
              </w:rPr>
              <w:t xml:space="preserve"> Наглядової Ради Банку та </w:t>
            </w:r>
            <w:proofErr w:type="spellStart"/>
            <w:r w:rsidRPr="004229C1">
              <w:rPr>
                <w:rFonts w:ascii="Times New Roman" w:hAnsi="Times New Roman" w:cs="Times New Roman"/>
                <w:bCs/>
                <w:sz w:val="22"/>
                <w:szCs w:val="22"/>
                <w:lang w:val="uk-UA"/>
              </w:rPr>
              <w:t>Правлiння</w:t>
            </w:r>
            <w:proofErr w:type="spellEnd"/>
            <w:r w:rsidRPr="004229C1">
              <w:rPr>
                <w:rFonts w:ascii="Times New Roman" w:hAnsi="Times New Roman" w:cs="Times New Roman"/>
                <w:bCs/>
                <w:sz w:val="22"/>
                <w:szCs w:val="22"/>
                <w:lang w:val="uk-UA"/>
              </w:rPr>
              <w:t xml:space="preserve"> Банку та комітетів Правління Банку.</w:t>
            </w:r>
          </w:p>
          <w:p w14:paraId="7B3CCBD0"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Надає юридичну </w:t>
            </w:r>
            <w:proofErr w:type="spellStart"/>
            <w:r w:rsidRPr="004229C1">
              <w:rPr>
                <w:rFonts w:ascii="Times New Roman" w:hAnsi="Times New Roman" w:cs="Times New Roman"/>
                <w:bCs/>
                <w:sz w:val="22"/>
                <w:szCs w:val="22"/>
                <w:lang w:val="uk-UA"/>
              </w:rPr>
              <w:t>пiдтримку</w:t>
            </w:r>
            <w:proofErr w:type="spellEnd"/>
            <w:r w:rsidRPr="004229C1">
              <w:rPr>
                <w:rFonts w:ascii="Times New Roman" w:hAnsi="Times New Roman" w:cs="Times New Roman"/>
                <w:bCs/>
                <w:sz w:val="22"/>
                <w:szCs w:val="22"/>
                <w:lang w:val="uk-UA"/>
              </w:rPr>
              <w:t xml:space="preserve"> у </w:t>
            </w:r>
            <w:proofErr w:type="spellStart"/>
            <w:r w:rsidRPr="004229C1">
              <w:rPr>
                <w:rFonts w:ascii="Times New Roman" w:hAnsi="Times New Roman" w:cs="Times New Roman"/>
                <w:bCs/>
                <w:sz w:val="22"/>
                <w:szCs w:val="22"/>
                <w:lang w:val="uk-UA"/>
              </w:rPr>
              <w:t>сферi</w:t>
            </w:r>
            <w:proofErr w:type="spellEnd"/>
            <w:r w:rsidRPr="004229C1">
              <w:rPr>
                <w:rFonts w:ascii="Times New Roman" w:hAnsi="Times New Roman" w:cs="Times New Roman"/>
                <w:bCs/>
                <w:sz w:val="22"/>
                <w:szCs w:val="22"/>
                <w:lang w:val="uk-UA"/>
              </w:rPr>
              <w:t xml:space="preserve"> корпоративного </w:t>
            </w:r>
            <w:proofErr w:type="spellStart"/>
            <w:r w:rsidRPr="004229C1">
              <w:rPr>
                <w:rFonts w:ascii="Times New Roman" w:hAnsi="Times New Roman" w:cs="Times New Roman"/>
                <w:bCs/>
                <w:sz w:val="22"/>
                <w:szCs w:val="22"/>
                <w:lang w:val="uk-UA"/>
              </w:rPr>
              <w:t>управлiння</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колегiальним</w:t>
            </w:r>
            <w:proofErr w:type="spellEnd"/>
            <w:r w:rsidRPr="004229C1">
              <w:rPr>
                <w:rFonts w:ascii="Times New Roman" w:hAnsi="Times New Roman" w:cs="Times New Roman"/>
                <w:bCs/>
                <w:sz w:val="22"/>
                <w:szCs w:val="22"/>
                <w:lang w:val="uk-UA"/>
              </w:rPr>
              <w:t xml:space="preserve"> органам Банку. </w:t>
            </w:r>
            <w:proofErr w:type="spellStart"/>
            <w:r w:rsidRPr="004229C1">
              <w:rPr>
                <w:rFonts w:ascii="Times New Roman" w:hAnsi="Times New Roman" w:cs="Times New Roman"/>
                <w:bCs/>
                <w:sz w:val="22"/>
                <w:szCs w:val="22"/>
                <w:lang w:val="uk-UA"/>
              </w:rPr>
              <w:t>Основнi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функцiональнi</w:t>
            </w:r>
            <w:proofErr w:type="spellEnd"/>
            <w:r w:rsidRPr="004229C1">
              <w:rPr>
                <w:rFonts w:ascii="Times New Roman" w:hAnsi="Times New Roman" w:cs="Times New Roman"/>
                <w:bCs/>
                <w:sz w:val="22"/>
                <w:szCs w:val="22"/>
                <w:lang w:val="uk-UA"/>
              </w:rPr>
              <w:t xml:space="preserve"> обов'язки </w:t>
            </w:r>
            <w:proofErr w:type="spellStart"/>
            <w:r w:rsidRPr="004229C1">
              <w:rPr>
                <w:rFonts w:ascii="Times New Roman" w:hAnsi="Times New Roman" w:cs="Times New Roman"/>
                <w:bCs/>
                <w:sz w:val="22"/>
                <w:szCs w:val="22"/>
                <w:lang w:val="uk-UA"/>
              </w:rPr>
              <w:t>викладенi</w:t>
            </w:r>
            <w:proofErr w:type="spellEnd"/>
            <w:r w:rsidRPr="004229C1">
              <w:rPr>
                <w:rFonts w:ascii="Times New Roman" w:hAnsi="Times New Roman" w:cs="Times New Roman"/>
                <w:bCs/>
                <w:sz w:val="22"/>
                <w:szCs w:val="22"/>
                <w:lang w:val="uk-UA"/>
              </w:rPr>
              <w:t xml:space="preserve"> в </w:t>
            </w:r>
            <w:proofErr w:type="spellStart"/>
            <w:r w:rsidRPr="004229C1">
              <w:rPr>
                <w:rFonts w:ascii="Times New Roman" w:hAnsi="Times New Roman" w:cs="Times New Roman"/>
                <w:bCs/>
                <w:sz w:val="22"/>
                <w:szCs w:val="22"/>
                <w:lang w:val="uk-UA"/>
              </w:rPr>
              <w:t>посадовiй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iнструкцiї</w:t>
            </w:r>
            <w:proofErr w:type="spellEnd"/>
            <w:r w:rsidRPr="004229C1">
              <w:rPr>
                <w:rFonts w:ascii="Times New Roman" w:hAnsi="Times New Roman" w:cs="Times New Roman"/>
                <w:bCs/>
                <w:sz w:val="22"/>
                <w:szCs w:val="22"/>
                <w:lang w:val="uk-UA"/>
              </w:rPr>
              <w:t>, Положенні про корпоративного секретаря, Положенні про Наглядову Раду.</w:t>
            </w:r>
          </w:p>
          <w:p w14:paraId="6663F4E1"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3420" w:type="dxa"/>
            <w:tcBorders>
              <w:top w:val="nil"/>
              <w:left w:val="nil"/>
              <w:bottom w:val="single" w:sz="8" w:space="0" w:color="auto"/>
              <w:right w:val="single" w:sz="8" w:space="0" w:color="auto"/>
            </w:tcBorders>
            <w:tcMar>
              <w:top w:w="0" w:type="dxa"/>
              <w:left w:w="108" w:type="dxa"/>
              <w:bottom w:w="0" w:type="dxa"/>
              <w:right w:w="108" w:type="dxa"/>
            </w:tcMar>
            <w:vAlign w:val="center"/>
          </w:tcPr>
          <w:p w14:paraId="23B64191"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Призначається на посаду на підставі рішення Наглядової Ради шляхом оформлення наказу з урахуванням трудового законодавства. Звільняється з посади шляхом оформлення наказу </w:t>
            </w:r>
            <w:proofErr w:type="spellStart"/>
            <w:r w:rsidRPr="004229C1">
              <w:rPr>
                <w:rFonts w:ascii="Times New Roman" w:hAnsi="Times New Roman" w:cs="Times New Roman"/>
                <w:bCs/>
                <w:sz w:val="22"/>
                <w:szCs w:val="22"/>
                <w:lang w:val="uk-UA"/>
              </w:rPr>
              <w:t>вiдповiдно</w:t>
            </w:r>
            <w:proofErr w:type="spellEnd"/>
            <w:r w:rsidRPr="004229C1">
              <w:rPr>
                <w:rFonts w:ascii="Times New Roman" w:hAnsi="Times New Roman" w:cs="Times New Roman"/>
                <w:bCs/>
                <w:sz w:val="22"/>
                <w:szCs w:val="22"/>
                <w:lang w:val="uk-UA"/>
              </w:rPr>
              <w:t xml:space="preserve"> до трудового законодавства України або на підставі рішення Наглядової Ради</w:t>
            </w:r>
          </w:p>
          <w:p w14:paraId="21FE2BBF"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r>
      <w:tr w:rsidR="008D4C2F" w:rsidRPr="004229C1" w14:paraId="5D230FF0" w14:textId="77777777" w:rsidTr="00124344">
        <w:trPr>
          <w:trHeight w:val="200"/>
        </w:trPr>
        <w:tc>
          <w:tcPr>
            <w:tcW w:w="17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4607F0" w14:textId="77777777" w:rsidR="008D4C2F" w:rsidRPr="004229C1" w:rsidRDefault="008D4C2F" w:rsidP="00E3293A">
            <w:pPr>
              <w:spacing w:line="240" w:lineRule="auto"/>
              <w:jc w:val="both"/>
              <w:rPr>
                <w:rFonts w:ascii="Times New Roman" w:hAnsi="Times New Roman" w:cs="Times New Roman"/>
                <w:b/>
                <w:bCs/>
                <w:sz w:val="22"/>
                <w:szCs w:val="22"/>
                <w:lang w:val="uk-UA"/>
              </w:rPr>
            </w:pPr>
            <w:proofErr w:type="spellStart"/>
            <w:r w:rsidRPr="004229C1">
              <w:rPr>
                <w:rFonts w:ascii="Times New Roman" w:hAnsi="Times New Roman" w:cs="Times New Roman"/>
                <w:bCs/>
                <w:sz w:val="22"/>
                <w:szCs w:val="22"/>
                <w:lang w:val="uk-UA"/>
              </w:rPr>
              <w:t>Баркар</w:t>
            </w:r>
            <w:proofErr w:type="spellEnd"/>
            <w:r w:rsidRPr="004229C1">
              <w:rPr>
                <w:rFonts w:ascii="Times New Roman" w:hAnsi="Times New Roman" w:cs="Times New Roman"/>
                <w:bCs/>
                <w:sz w:val="22"/>
                <w:szCs w:val="22"/>
                <w:lang w:val="uk-UA"/>
              </w:rPr>
              <w:t xml:space="preserve"> Ірина Вікторівна</w:t>
            </w:r>
          </w:p>
        </w:tc>
        <w:tc>
          <w:tcPr>
            <w:tcW w:w="4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18AB3391"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Директор департаменту планування і контролю головного фінансового управління             </w:t>
            </w:r>
          </w:p>
          <w:p w14:paraId="7AE6100C"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67029C69"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Призначення посадової особи колегіальним органом не передбачено.</w:t>
            </w:r>
          </w:p>
          <w:p w14:paraId="6A375251"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single" w:sz="8" w:space="0" w:color="auto"/>
              <w:right w:val="single" w:sz="8" w:space="0" w:color="auto"/>
            </w:tcBorders>
            <w:tcMar>
              <w:top w:w="0" w:type="dxa"/>
              <w:left w:w="108" w:type="dxa"/>
              <w:bottom w:w="0" w:type="dxa"/>
              <w:right w:w="108" w:type="dxa"/>
            </w:tcMar>
            <w:vAlign w:val="center"/>
          </w:tcPr>
          <w:p w14:paraId="675DD606"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Забезпечує підтримку вищому керівництву в процесі оцінки діяльності в цілому та в розрізі</w:t>
            </w:r>
          </w:p>
          <w:p w14:paraId="15E893E7"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окремих сегментів, а також стратегічної та ринкової позиції Банку;</w:t>
            </w:r>
          </w:p>
          <w:p w14:paraId="167EB1BA"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Визначає стратегії щодо розподілу капіталу з метою оптимізації використання капіталу та</w:t>
            </w:r>
          </w:p>
          <w:p w14:paraId="1574F7E0"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максимізації вартості Банку;</w:t>
            </w:r>
          </w:p>
          <w:p w14:paraId="435614E8"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Управляє усім процесом бюджету капітальних витрат та забезпечує контроль за</w:t>
            </w:r>
          </w:p>
          <w:p w14:paraId="586CDB87"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використанням коштів Банку.</w:t>
            </w:r>
          </w:p>
          <w:p w14:paraId="632E9C50" w14:textId="77777777" w:rsidR="008D4C2F" w:rsidRPr="004229C1" w:rsidRDefault="008D4C2F" w:rsidP="00E3293A">
            <w:pPr>
              <w:spacing w:line="240" w:lineRule="auto"/>
              <w:jc w:val="both"/>
              <w:rPr>
                <w:rFonts w:ascii="Times New Roman" w:hAnsi="Times New Roman" w:cs="Times New Roman"/>
                <w:b/>
                <w:bCs/>
                <w:sz w:val="22"/>
                <w:szCs w:val="22"/>
                <w:lang w:val="uk-UA"/>
              </w:rPr>
            </w:pPr>
            <w:proofErr w:type="spellStart"/>
            <w:r w:rsidRPr="004229C1">
              <w:rPr>
                <w:rFonts w:ascii="Times New Roman" w:hAnsi="Times New Roman" w:cs="Times New Roman"/>
                <w:bCs/>
                <w:sz w:val="22"/>
                <w:szCs w:val="22"/>
                <w:lang w:val="uk-UA"/>
              </w:rPr>
              <w:t>Основнi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функцiональнi</w:t>
            </w:r>
            <w:proofErr w:type="spellEnd"/>
            <w:r w:rsidRPr="004229C1">
              <w:rPr>
                <w:rFonts w:ascii="Times New Roman" w:hAnsi="Times New Roman" w:cs="Times New Roman"/>
                <w:bCs/>
                <w:sz w:val="22"/>
                <w:szCs w:val="22"/>
                <w:lang w:val="uk-UA"/>
              </w:rPr>
              <w:t xml:space="preserve"> обов'язки </w:t>
            </w:r>
            <w:proofErr w:type="spellStart"/>
            <w:r w:rsidRPr="004229C1">
              <w:rPr>
                <w:rFonts w:ascii="Times New Roman" w:hAnsi="Times New Roman" w:cs="Times New Roman"/>
                <w:bCs/>
                <w:sz w:val="22"/>
                <w:szCs w:val="22"/>
                <w:lang w:val="uk-UA"/>
              </w:rPr>
              <w:t>викладенi</w:t>
            </w:r>
            <w:proofErr w:type="spellEnd"/>
            <w:r w:rsidRPr="004229C1">
              <w:rPr>
                <w:rFonts w:ascii="Times New Roman" w:hAnsi="Times New Roman" w:cs="Times New Roman"/>
                <w:bCs/>
                <w:sz w:val="22"/>
                <w:szCs w:val="22"/>
                <w:lang w:val="uk-UA"/>
              </w:rPr>
              <w:t xml:space="preserve"> в </w:t>
            </w:r>
            <w:proofErr w:type="spellStart"/>
            <w:r w:rsidRPr="004229C1">
              <w:rPr>
                <w:rFonts w:ascii="Times New Roman" w:hAnsi="Times New Roman" w:cs="Times New Roman"/>
                <w:bCs/>
                <w:sz w:val="22"/>
                <w:szCs w:val="22"/>
                <w:lang w:val="uk-UA"/>
              </w:rPr>
              <w:t>посадовiй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iнструкцiї</w:t>
            </w:r>
            <w:proofErr w:type="spellEnd"/>
            <w:r w:rsidRPr="004229C1">
              <w:rPr>
                <w:rFonts w:ascii="Times New Roman" w:hAnsi="Times New Roman" w:cs="Times New Roman"/>
                <w:bCs/>
                <w:sz w:val="22"/>
                <w:szCs w:val="22"/>
                <w:lang w:val="uk-UA"/>
              </w:rPr>
              <w:t>.</w:t>
            </w:r>
          </w:p>
          <w:p w14:paraId="0E2F93D7"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3420" w:type="dxa"/>
            <w:tcBorders>
              <w:top w:val="nil"/>
              <w:left w:val="nil"/>
              <w:bottom w:val="single" w:sz="8" w:space="0" w:color="auto"/>
              <w:right w:val="single" w:sz="8" w:space="0" w:color="auto"/>
            </w:tcBorders>
            <w:tcMar>
              <w:top w:w="0" w:type="dxa"/>
              <w:left w:w="108" w:type="dxa"/>
              <w:bottom w:w="0" w:type="dxa"/>
              <w:right w:w="108" w:type="dxa"/>
            </w:tcMar>
            <w:vAlign w:val="center"/>
          </w:tcPr>
          <w:p w14:paraId="52474C5D"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Призначається на посаду та </w:t>
            </w:r>
            <w:proofErr w:type="spellStart"/>
            <w:r w:rsidRPr="004229C1">
              <w:rPr>
                <w:rFonts w:ascii="Times New Roman" w:hAnsi="Times New Roman" w:cs="Times New Roman"/>
                <w:bCs/>
                <w:sz w:val="22"/>
                <w:szCs w:val="22"/>
                <w:lang w:val="uk-UA"/>
              </w:rPr>
              <w:t>звiльняється</w:t>
            </w:r>
            <w:proofErr w:type="spellEnd"/>
            <w:r w:rsidRPr="004229C1">
              <w:rPr>
                <w:rFonts w:ascii="Times New Roman" w:hAnsi="Times New Roman" w:cs="Times New Roman"/>
                <w:bCs/>
                <w:sz w:val="22"/>
                <w:szCs w:val="22"/>
                <w:lang w:val="uk-UA"/>
              </w:rPr>
              <w:t xml:space="preserve"> з посади Головою </w:t>
            </w:r>
            <w:proofErr w:type="spellStart"/>
            <w:r w:rsidRPr="004229C1">
              <w:rPr>
                <w:rFonts w:ascii="Times New Roman" w:hAnsi="Times New Roman" w:cs="Times New Roman"/>
                <w:bCs/>
                <w:sz w:val="22"/>
                <w:szCs w:val="22"/>
                <w:lang w:val="uk-UA"/>
              </w:rPr>
              <w:t>Правлiння</w:t>
            </w:r>
            <w:proofErr w:type="spellEnd"/>
            <w:r w:rsidRPr="004229C1">
              <w:rPr>
                <w:rFonts w:ascii="Times New Roman" w:hAnsi="Times New Roman" w:cs="Times New Roman"/>
                <w:bCs/>
                <w:sz w:val="22"/>
                <w:szCs w:val="22"/>
                <w:lang w:val="uk-UA"/>
              </w:rPr>
              <w:t xml:space="preserve"> Банку шляхом оформлення наказу </w:t>
            </w:r>
            <w:proofErr w:type="spellStart"/>
            <w:r w:rsidRPr="004229C1">
              <w:rPr>
                <w:rFonts w:ascii="Times New Roman" w:hAnsi="Times New Roman" w:cs="Times New Roman"/>
                <w:bCs/>
                <w:sz w:val="22"/>
                <w:szCs w:val="22"/>
                <w:lang w:val="uk-UA"/>
              </w:rPr>
              <w:t>вiдповiдно</w:t>
            </w:r>
            <w:proofErr w:type="spellEnd"/>
            <w:r w:rsidRPr="004229C1">
              <w:rPr>
                <w:rFonts w:ascii="Times New Roman" w:hAnsi="Times New Roman" w:cs="Times New Roman"/>
                <w:bCs/>
                <w:sz w:val="22"/>
                <w:szCs w:val="22"/>
                <w:lang w:val="uk-UA"/>
              </w:rPr>
              <w:t xml:space="preserve"> до трудового законодавства України.</w:t>
            </w:r>
          </w:p>
          <w:p w14:paraId="14495A8A"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r>
      <w:tr w:rsidR="008D4C2F" w:rsidRPr="004229C1" w14:paraId="1E32115A" w14:textId="77777777" w:rsidTr="00124344">
        <w:trPr>
          <w:trHeight w:val="200"/>
        </w:trPr>
        <w:tc>
          <w:tcPr>
            <w:tcW w:w="17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273FAF"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Лисенко Тетяна Семенівна</w:t>
            </w:r>
          </w:p>
        </w:tc>
        <w:tc>
          <w:tcPr>
            <w:tcW w:w="40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C2D9B7"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Директор департаменту внутрішнього аудиту </w:t>
            </w:r>
          </w:p>
          <w:p w14:paraId="672723B6"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6391DC0D"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Протокол Наглядової Ради № 18_22.11 від 22 грудня 2022 року, питання 11 порядку денного </w:t>
            </w:r>
          </w:p>
          <w:p w14:paraId="6DB3BDE1" w14:textId="77777777" w:rsidR="008D4C2F" w:rsidRPr="004229C1" w:rsidRDefault="008D4C2F" w:rsidP="00E3293A">
            <w:pPr>
              <w:spacing w:line="240" w:lineRule="auto"/>
              <w:jc w:val="both"/>
              <w:rPr>
                <w:rFonts w:ascii="Times New Roman" w:hAnsi="Times New Roman" w:cs="Times New Roman"/>
                <w:b/>
                <w:bCs/>
                <w:sz w:val="22"/>
                <w:szCs w:val="22"/>
                <w:lang w:val="uk-UA"/>
              </w:rPr>
            </w:pPr>
          </w:p>
          <w:p w14:paraId="238854CE" w14:textId="77777777" w:rsidR="008D4C2F" w:rsidRPr="004229C1" w:rsidRDefault="008D4C2F" w:rsidP="00E3293A">
            <w:pPr>
              <w:spacing w:line="240" w:lineRule="auto"/>
              <w:jc w:val="both"/>
              <w:rPr>
                <w:rFonts w:ascii="Times New Roman" w:hAnsi="Times New Roman" w:cs="Times New Roman"/>
                <w:b/>
                <w:bCs/>
                <w:sz w:val="22"/>
                <w:szCs w:val="22"/>
                <w:lang w:val="uk-UA"/>
              </w:rPr>
            </w:pPr>
          </w:p>
        </w:tc>
        <w:tc>
          <w:tcPr>
            <w:tcW w:w="5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2A2440"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Забезпечення безперервної, незалежної та об’єктивної діяльності внутрішнього аудиту, відповідності, достатності та ефективності використання ресурсів департаменту внутрішнього аудиту для виконання річного плану проведення аудиторської перевірки, складання та подання звітності згідно з Положенням про департамент внутрішнього аудиту та вимогами Національного банку України. </w:t>
            </w:r>
            <w:proofErr w:type="spellStart"/>
            <w:r w:rsidRPr="004229C1">
              <w:rPr>
                <w:rFonts w:ascii="Times New Roman" w:hAnsi="Times New Roman" w:cs="Times New Roman"/>
                <w:bCs/>
                <w:sz w:val="22"/>
                <w:szCs w:val="22"/>
                <w:lang w:val="uk-UA"/>
              </w:rPr>
              <w:t>Основнi</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функцiональнi</w:t>
            </w:r>
            <w:proofErr w:type="spellEnd"/>
            <w:r w:rsidRPr="004229C1">
              <w:rPr>
                <w:rFonts w:ascii="Times New Roman" w:hAnsi="Times New Roman" w:cs="Times New Roman"/>
                <w:bCs/>
                <w:sz w:val="22"/>
                <w:szCs w:val="22"/>
                <w:lang w:val="uk-UA"/>
              </w:rPr>
              <w:t xml:space="preserve"> обов'язки </w:t>
            </w:r>
            <w:proofErr w:type="spellStart"/>
            <w:r w:rsidRPr="004229C1">
              <w:rPr>
                <w:rFonts w:ascii="Times New Roman" w:hAnsi="Times New Roman" w:cs="Times New Roman"/>
                <w:bCs/>
                <w:sz w:val="22"/>
                <w:szCs w:val="22"/>
                <w:lang w:val="uk-UA"/>
              </w:rPr>
              <w:t>викладенi</w:t>
            </w:r>
            <w:proofErr w:type="spellEnd"/>
            <w:r w:rsidRPr="004229C1">
              <w:rPr>
                <w:rFonts w:ascii="Times New Roman" w:hAnsi="Times New Roman" w:cs="Times New Roman"/>
                <w:bCs/>
                <w:sz w:val="22"/>
                <w:szCs w:val="22"/>
                <w:lang w:val="uk-UA"/>
              </w:rPr>
              <w:t xml:space="preserve"> в </w:t>
            </w:r>
            <w:proofErr w:type="spellStart"/>
            <w:r w:rsidRPr="004229C1">
              <w:rPr>
                <w:rFonts w:ascii="Times New Roman" w:hAnsi="Times New Roman" w:cs="Times New Roman"/>
                <w:bCs/>
                <w:sz w:val="22"/>
                <w:szCs w:val="22"/>
                <w:lang w:val="uk-UA"/>
              </w:rPr>
              <w:t>посадовiй</w:t>
            </w:r>
            <w:proofErr w:type="spellEnd"/>
            <w:r w:rsidRPr="004229C1">
              <w:rPr>
                <w:rFonts w:ascii="Times New Roman" w:hAnsi="Times New Roman" w:cs="Times New Roman"/>
                <w:bCs/>
                <w:sz w:val="22"/>
                <w:szCs w:val="22"/>
                <w:lang w:val="uk-UA"/>
              </w:rPr>
              <w:t xml:space="preserve"> </w:t>
            </w:r>
            <w:proofErr w:type="spellStart"/>
            <w:r w:rsidRPr="004229C1">
              <w:rPr>
                <w:rFonts w:ascii="Times New Roman" w:hAnsi="Times New Roman" w:cs="Times New Roman"/>
                <w:bCs/>
                <w:sz w:val="22"/>
                <w:szCs w:val="22"/>
                <w:lang w:val="uk-UA"/>
              </w:rPr>
              <w:t>iнструкцiї</w:t>
            </w:r>
            <w:proofErr w:type="spellEnd"/>
            <w:r w:rsidRPr="004229C1">
              <w:rPr>
                <w:rFonts w:ascii="Times New Roman" w:hAnsi="Times New Roman" w:cs="Times New Roman"/>
                <w:bCs/>
                <w:sz w:val="22"/>
                <w:szCs w:val="22"/>
                <w:lang w:val="uk-UA"/>
              </w:rPr>
              <w:t>.</w:t>
            </w:r>
          </w:p>
        </w:tc>
        <w:tc>
          <w:tcPr>
            <w:tcW w:w="34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BD74AE" w14:textId="77777777" w:rsidR="008D4C2F" w:rsidRPr="004229C1" w:rsidRDefault="008D4C2F" w:rsidP="00E3293A">
            <w:pPr>
              <w:spacing w:line="240" w:lineRule="auto"/>
              <w:jc w:val="both"/>
              <w:rPr>
                <w:rFonts w:ascii="Times New Roman" w:hAnsi="Times New Roman" w:cs="Times New Roman"/>
                <w:b/>
                <w:bCs/>
                <w:sz w:val="22"/>
                <w:szCs w:val="22"/>
                <w:lang w:val="uk-UA"/>
              </w:rPr>
            </w:pPr>
            <w:r w:rsidRPr="004229C1">
              <w:rPr>
                <w:rFonts w:ascii="Times New Roman" w:hAnsi="Times New Roman" w:cs="Times New Roman"/>
                <w:bCs/>
                <w:sz w:val="22"/>
                <w:szCs w:val="22"/>
                <w:lang w:val="uk-UA"/>
              </w:rPr>
              <w:t xml:space="preserve">Призначається на посаду на підставі рішення Наглядової Ради шляхом оформлення наказу з урахуванням трудового законодавства. Звільняється з посади шляхом оформлення наказу </w:t>
            </w:r>
            <w:proofErr w:type="spellStart"/>
            <w:r w:rsidRPr="004229C1">
              <w:rPr>
                <w:rFonts w:ascii="Times New Roman" w:hAnsi="Times New Roman" w:cs="Times New Roman"/>
                <w:bCs/>
                <w:sz w:val="22"/>
                <w:szCs w:val="22"/>
                <w:lang w:val="uk-UA"/>
              </w:rPr>
              <w:t>вiдповiдно</w:t>
            </w:r>
            <w:proofErr w:type="spellEnd"/>
            <w:r w:rsidRPr="004229C1">
              <w:rPr>
                <w:rFonts w:ascii="Times New Roman" w:hAnsi="Times New Roman" w:cs="Times New Roman"/>
                <w:bCs/>
                <w:sz w:val="22"/>
                <w:szCs w:val="22"/>
                <w:lang w:val="uk-UA"/>
              </w:rPr>
              <w:t xml:space="preserve"> до трудового законодавства України або на підставі рішення Наглядової Ради.</w:t>
            </w:r>
          </w:p>
        </w:tc>
      </w:tr>
    </w:tbl>
    <w:p w14:paraId="189E4679" w14:textId="77777777" w:rsidR="008D4C2F" w:rsidRPr="004229C1" w:rsidRDefault="008D4C2F">
      <w:pPr>
        <w:widowControl w:val="0"/>
        <w:autoSpaceDE w:val="0"/>
        <w:autoSpaceDN w:val="0"/>
        <w:adjustRightInd w:val="0"/>
        <w:spacing w:after="0" w:line="240" w:lineRule="auto"/>
        <w:rPr>
          <w:rFonts w:ascii="Times New Roman" w:hAnsi="Times New Roman" w:cs="Times New Roman"/>
          <w:b/>
          <w:bCs/>
          <w:kern w:val="0"/>
          <w:lang w:val="uk-UA"/>
        </w:rPr>
      </w:pPr>
    </w:p>
    <w:p w14:paraId="72435B16" w14:textId="77777777" w:rsidR="008D4C2F" w:rsidRPr="004229C1" w:rsidRDefault="008D4C2F">
      <w:pPr>
        <w:widowControl w:val="0"/>
        <w:autoSpaceDE w:val="0"/>
        <w:autoSpaceDN w:val="0"/>
        <w:adjustRightInd w:val="0"/>
        <w:spacing w:after="0" w:line="240" w:lineRule="auto"/>
        <w:rPr>
          <w:rFonts w:ascii="Times New Roman" w:hAnsi="Times New Roman" w:cs="Times New Roman"/>
          <w:kern w:val="0"/>
          <w:lang w:val="uk-UA"/>
        </w:rPr>
      </w:pPr>
    </w:p>
    <w:p w14:paraId="768954EF"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0D8C4C7D"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sectPr w:rsidR="007469BF" w:rsidRPr="004229C1">
          <w:pgSz w:w="16837" w:h="11905" w:orient="landscape"/>
          <w:pgMar w:top="570" w:right="720" w:bottom="570" w:left="720" w:header="720" w:footer="720" w:gutter="0"/>
          <w:cols w:space="720"/>
          <w:noEndnote/>
        </w:sectPr>
      </w:pPr>
    </w:p>
    <w:p w14:paraId="470D83EE" w14:textId="77777777" w:rsidR="00AF2E43" w:rsidRPr="004229C1" w:rsidRDefault="00AF2E43" w:rsidP="00AF2E43">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Частина 14. Інформація від суб’єкта аудиторської діяльності з урахуванням вимог, передбачених пунктом 45 цього Положення</w:t>
      </w:r>
    </w:p>
    <w:p w14:paraId="0026F86A" w14:textId="77777777" w:rsidR="00AF2E43" w:rsidRPr="004229C1" w:rsidRDefault="00AF2E43" w:rsidP="00AF2E43">
      <w:pPr>
        <w:widowControl w:val="0"/>
        <w:autoSpaceDE w:val="0"/>
        <w:autoSpaceDN w:val="0"/>
        <w:adjustRightInd w:val="0"/>
        <w:spacing w:after="0" w:line="240" w:lineRule="auto"/>
        <w:jc w:val="both"/>
        <w:rPr>
          <w:rFonts w:ascii="Times New Roman" w:hAnsi="Times New Roman" w:cs="Times New Roman"/>
          <w:b/>
          <w:bCs/>
          <w:kern w:val="0"/>
          <w:lang w:val="uk-UA"/>
        </w:rPr>
      </w:pPr>
    </w:p>
    <w:p w14:paraId="7AACDBC2" w14:textId="4176A567" w:rsidR="00AF2E43" w:rsidRPr="004229C1" w:rsidRDefault="00AF2E43" w:rsidP="00AF2E43">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Звіт незалежного аудитора</w:t>
      </w:r>
    </w:p>
    <w:p w14:paraId="33415F96" w14:textId="77777777" w:rsidR="00AF2E43" w:rsidRPr="004229C1" w:rsidRDefault="00AF2E43" w:rsidP="00AF2E43">
      <w:pPr>
        <w:widowControl w:val="0"/>
        <w:autoSpaceDE w:val="0"/>
        <w:autoSpaceDN w:val="0"/>
        <w:adjustRightInd w:val="0"/>
        <w:spacing w:after="0" w:line="240" w:lineRule="auto"/>
        <w:jc w:val="both"/>
        <w:rPr>
          <w:rFonts w:ascii="Times New Roman" w:hAnsi="Times New Roman" w:cs="Times New Roman"/>
          <w:b/>
          <w:bCs/>
          <w:kern w:val="0"/>
          <w:lang w:val="uk-UA"/>
        </w:rPr>
      </w:pPr>
    </w:p>
    <w:p w14:paraId="0A90A5AE" w14:textId="77777777" w:rsidR="008F47C0" w:rsidRPr="004229C1" w:rsidRDefault="008F47C0" w:rsidP="00124344">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b/>
          <w:bCs/>
          <w:i/>
          <w:lang w:val="uk-UA"/>
        </w:rPr>
        <w:t>Інша інформація, що включена до Звіту керівництва та Річної інформації емітента цінних паперів за 2024 рік</w:t>
      </w:r>
    </w:p>
    <w:p w14:paraId="6A30C2EC" w14:textId="77777777" w:rsidR="008F47C0" w:rsidRPr="004229C1" w:rsidRDefault="008F47C0" w:rsidP="00124344">
      <w:pPr>
        <w:spacing w:after="240" w:line="240" w:lineRule="atLeast"/>
        <w:jc w:val="both"/>
        <w:rPr>
          <w:rFonts w:ascii="Times New Roman" w:hAnsi="Times New Roman" w:cs="Times New Roman"/>
          <w:lang w:val="uk-UA"/>
        </w:rPr>
      </w:pPr>
      <w:r w:rsidRPr="004229C1">
        <w:rPr>
          <w:rFonts w:ascii="Times New Roman" w:hAnsi="Times New Roman" w:cs="Times New Roman"/>
          <w:lang w:val="uk-UA"/>
        </w:rPr>
        <w:t>Інша інформація складається зі Звіту керівництва (що включає Звіт про корпоративне управління), але не включає фінансову звітність та наш звіт аудитора щодо неї, який ми отримали до дати цього звіту аудитора, та Річну інформацію емітента цінних паперів, яку ми очікуємо отримати після цієї дати. Управлінський персонал несе відповідальність за іншу інформацію.</w:t>
      </w:r>
    </w:p>
    <w:p w14:paraId="6BB2D935" w14:textId="77777777" w:rsidR="008F47C0" w:rsidRPr="004229C1" w:rsidRDefault="008F47C0" w:rsidP="00124344">
      <w:pPr>
        <w:spacing w:after="240" w:line="240" w:lineRule="atLeast"/>
        <w:jc w:val="both"/>
        <w:rPr>
          <w:rFonts w:ascii="Times New Roman" w:hAnsi="Times New Roman" w:cs="Times New Roman"/>
          <w:lang w:val="uk-UA"/>
        </w:rPr>
      </w:pPr>
      <w:r w:rsidRPr="004229C1">
        <w:rPr>
          <w:rFonts w:ascii="Times New Roman" w:hAnsi="Times New Roman" w:cs="Times New Roman"/>
          <w:lang w:val="uk-UA"/>
        </w:rPr>
        <w:t>Наша думка щодо фінансової звітності не поширюється на іншу інформацію та ми не робимо висновок та не будемо робити висновок з будь-яким рівнем впевненості щодо цієї іншої інформації.</w:t>
      </w:r>
    </w:p>
    <w:p w14:paraId="4743C1A9" w14:textId="77777777" w:rsidR="008F47C0" w:rsidRPr="004229C1" w:rsidRDefault="008F47C0" w:rsidP="00124344">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та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іншої інформації отриманої до дати цього звіту аудитора, ми зобов’язані повідомити про цей факт. Ми не виявили таких фактів, які б необхідно було включити до звіту.</w:t>
      </w:r>
    </w:p>
    <w:p w14:paraId="0D695088" w14:textId="77777777" w:rsidR="008F47C0" w:rsidRPr="004229C1" w:rsidRDefault="008F47C0" w:rsidP="00124344">
      <w:pPr>
        <w:keepNext/>
        <w:autoSpaceDE w:val="0"/>
        <w:autoSpaceDN w:val="0"/>
        <w:adjustRightInd w:val="0"/>
        <w:spacing w:after="240" w:line="240" w:lineRule="atLeast"/>
        <w:jc w:val="both"/>
        <w:rPr>
          <w:rFonts w:ascii="Times New Roman" w:hAnsi="Times New Roman" w:cs="Times New Roman"/>
          <w:lang w:val="uk-UA"/>
        </w:rPr>
      </w:pPr>
      <w:r w:rsidRPr="004229C1">
        <w:rPr>
          <w:rFonts w:ascii="Times New Roman" w:hAnsi="Times New Roman" w:cs="Times New Roman"/>
          <w:lang w:val="uk-UA"/>
        </w:rPr>
        <w:t>Коли ми ознайомимося з Річною інформацією емітента цінних паперів, якщо ми дійдемо висновку, що вона містить суттєве викривлення, ми повідомимо про це питання Наглядову Раду Банку.</w:t>
      </w:r>
    </w:p>
    <w:p w14:paraId="12364B5F" w14:textId="77777777" w:rsidR="007469BF" w:rsidRPr="004229C1" w:rsidRDefault="000B08A7" w:rsidP="004A3B2B">
      <w:pPr>
        <w:widowControl w:val="0"/>
        <w:autoSpaceDE w:val="0"/>
        <w:autoSpaceDN w:val="0"/>
        <w:adjustRightInd w:val="0"/>
        <w:spacing w:after="0" w:line="240" w:lineRule="auto"/>
        <w:jc w:val="both"/>
        <w:rPr>
          <w:rFonts w:ascii="Times New Roman" w:hAnsi="Times New Roman" w:cs="Times New Roman"/>
          <w:b/>
          <w:bCs/>
          <w:kern w:val="0"/>
          <w:lang w:val="uk-UA"/>
        </w:rPr>
      </w:pPr>
      <w:r w:rsidRPr="004229C1">
        <w:rPr>
          <w:rFonts w:ascii="Times New Roman" w:hAnsi="Times New Roman" w:cs="Times New Roman"/>
          <w:b/>
          <w:bCs/>
          <w:kern w:val="0"/>
          <w:lang w:val="uk-UA"/>
        </w:rPr>
        <w:t>Частина 15. Інформація, передбачена законодавством про діяльність та регулювання діяльності на ринку фінансових послуг</w:t>
      </w:r>
    </w:p>
    <w:p w14:paraId="47F63DD3" w14:textId="77777777" w:rsidR="007469BF" w:rsidRPr="004229C1" w:rsidRDefault="007469BF">
      <w:pPr>
        <w:widowControl w:val="0"/>
        <w:autoSpaceDE w:val="0"/>
        <w:autoSpaceDN w:val="0"/>
        <w:adjustRightInd w:val="0"/>
        <w:spacing w:after="0" w:line="240" w:lineRule="auto"/>
        <w:jc w:val="both"/>
        <w:rPr>
          <w:rFonts w:ascii="Times New Roman" w:hAnsi="Times New Roman" w:cs="Times New Roman"/>
          <w:kern w:val="0"/>
          <w:lang w:val="uk-UA"/>
        </w:rPr>
      </w:pPr>
    </w:p>
    <w:p w14:paraId="5CE44C3B" w14:textId="39CBB5CB" w:rsidR="00AF2E43" w:rsidRPr="004229C1" w:rsidRDefault="00124344">
      <w:pPr>
        <w:widowControl w:val="0"/>
        <w:autoSpaceDE w:val="0"/>
        <w:autoSpaceDN w:val="0"/>
        <w:adjustRightInd w:val="0"/>
        <w:spacing w:after="0" w:line="240" w:lineRule="auto"/>
        <w:jc w:val="both"/>
        <w:rPr>
          <w:rFonts w:ascii="Times New Roman" w:hAnsi="Times New Roman" w:cs="Times New Roman"/>
          <w:kern w:val="0"/>
          <w:lang w:val="uk-UA"/>
        </w:rPr>
      </w:pPr>
      <w:r w:rsidRPr="004229C1">
        <w:rPr>
          <w:rFonts w:ascii="Times New Roman" w:hAnsi="Times New Roman" w:cs="Times New Roman"/>
          <w:kern w:val="0"/>
          <w:lang w:val="uk-UA"/>
        </w:rPr>
        <w:t xml:space="preserve">Вся необхідна інформація, передбачена законодавством про діяльність та регулювання діяльності на ринку фінансових послуг, </w:t>
      </w:r>
      <w:r w:rsidR="00AF2E43" w:rsidRPr="004229C1">
        <w:rPr>
          <w:rFonts w:ascii="Times New Roman" w:hAnsi="Times New Roman" w:cs="Times New Roman"/>
          <w:kern w:val="0"/>
          <w:lang w:val="uk-UA"/>
        </w:rPr>
        <w:t>належним чином розкрита у Звіті керівництва</w:t>
      </w:r>
      <w:r w:rsidR="00517DED" w:rsidRPr="004229C1">
        <w:rPr>
          <w:rFonts w:ascii="Times New Roman" w:hAnsi="Times New Roman" w:cs="Times New Roman"/>
          <w:kern w:val="0"/>
          <w:lang w:val="uk-UA"/>
        </w:rPr>
        <w:t xml:space="preserve"> за 202</w:t>
      </w:r>
      <w:r w:rsidR="008F47C0" w:rsidRPr="004229C1">
        <w:rPr>
          <w:rFonts w:ascii="Times New Roman" w:hAnsi="Times New Roman" w:cs="Times New Roman"/>
          <w:kern w:val="0"/>
          <w:lang w:val="uk-UA"/>
        </w:rPr>
        <w:t>4</w:t>
      </w:r>
      <w:r w:rsidR="00517DED" w:rsidRPr="004229C1">
        <w:rPr>
          <w:rFonts w:ascii="Times New Roman" w:hAnsi="Times New Roman" w:cs="Times New Roman"/>
          <w:kern w:val="0"/>
          <w:lang w:val="uk-UA"/>
        </w:rPr>
        <w:t xml:space="preserve"> р. </w:t>
      </w:r>
    </w:p>
    <w:p w14:paraId="12019436" w14:textId="6793914D" w:rsidR="00AF2E43" w:rsidRPr="004229C1" w:rsidRDefault="00085CA8">
      <w:pPr>
        <w:widowControl w:val="0"/>
        <w:autoSpaceDE w:val="0"/>
        <w:autoSpaceDN w:val="0"/>
        <w:adjustRightInd w:val="0"/>
        <w:spacing w:after="0" w:line="240" w:lineRule="auto"/>
        <w:jc w:val="both"/>
        <w:rPr>
          <w:rFonts w:ascii="Times New Roman" w:hAnsi="Times New Roman" w:cs="Times New Roman"/>
          <w:kern w:val="0"/>
          <w:lang w:val="uk-UA"/>
        </w:rPr>
      </w:pPr>
      <w:hyperlink r:id="rId35" w:history="1">
        <w:r w:rsidRPr="004229C1">
          <w:rPr>
            <w:rStyle w:val="Hyperlink"/>
            <w:rFonts w:ascii="Times New Roman" w:hAnsi="Times New Roman" w:cs="Times New Roman"/>
            <w:kern w:val="0"/>
            <w:lang w:val="uk-UA"/>
          </w:rPr>
          <w:t>https://www.pravex.com.ua/storage/files/annual-report-for-the-year-ukr-pravex-bank-2024_1749195756.pdf</w:t>
        </w:r>
      </w:hyperlink>
      <w:r w:rsidR="00AF2E43" w:rsidRPr="004229C1">
        <w:rPr>
          <w:rFonts w:ascii="Times New Roman" w:hAnsi="Times New Roman" w:cs="Times New Roman"/>
          <w:kern w:val="0"/>
          <w:lang w:val="uk-UA"/>
        </w:rPr>
        <w:t xml:space="preserve"> </w:t>
      </w:r>
    </w:p>
    <w:p w14:paraId="4CAE97FA"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pPr>
    </w:p>
    <w:p w14:paraId="610920DE" w14:textId="77777777" w:rsidR="007469BF" w:rsidRPr="004229C1" w:rsidRDefault="000B08A7" w:rsidP="00394FCC">
      <w:pPr>
        <w:pStyle w:val="Heading2"/>
        <w:rPr>
          <w:rFonts w:cs="Times New Roman"/>
          <w:lang w:val="uk-UA"/>
        </w:rPr>
      </w:pPr>
      <w:bookmarkStart w:id="24" w:name="_Toc200057398"/>
      <w:r w:rsidRPr="004229C1">
        <w:rPr>
          <w:rFonts w:cs="Times New Roman"/>
          <w:lang w:val="uk-UA"/>
        </w:rPr>
        <w:t>2) звіт про сталий розвиток</w:t>
      </w:r>
      <w:bookmarkEnd w:id="24"/>
    </w:p>
    <w:tbl>
      <w:tblPr>
        <w:tblW w:w="1000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6"/>
        <w:gridCol w:w="274"/>
        <w:gridCol w:w="10"/>
        <w:gridCol w:w="4677"/>
        <w:gridCol w:w="13"/>
        <w:gridCol w:w="4949"/>
        <w:gridCol w:w="51"/>
      </w:tblGrid>
      <w:tr w:rsidR="007469BF" w:rsidRPr="004229C1" w14:paraId="72D500B3" w14:textId="77777777" w:rsidTr="00124344">
        <w:trPr>
          <w:trHeight w:val="200"/>
        </w:trPr>
        <w:tc>
          <w:tcPr>
            <w:tcW w:w="300" w:type="dxa"/>
            <w:gridSpan w:val="2"/>
            <w:tcBorders>
              <w:top w:val="single" w:sz="6" w:space="0" w:color="auto"/>
              <w:bottom w:val="single" w:sz="6" w:space="0" w:color="auto"/>
              <w:right w:val="single" w:sz="6" w:space="0" w:color="auto"/>
            </w:tcBorders>
          </w:tcPr>
          <w:p w14:paraId="363ED6B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9700" w:type="dxa"/>
            <w:gridSpan w:val="5"/>
            <w:tcBorders>
              <w:top w:val="single" w:sz="6" w:space="0" w:color="auto"/>
              <w:left w:val="single" w:sz="6" w:space="0" w:color="auto"/>
              <w:bottom w:val="single" w:sz="6" w:space="0" w:color="auto"/>
            </w:tcBorders>
          </w:tcPr>
          <w:p w14:paraId="23BF095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Оцінка діяльності щодо захисту довкілля та соціальної відповідальності за звітний період:</w:t>
            </w:r>
          </w:p>
        </w:tc>
      </w:tr>
      <w:tr w:rsidR="007469BF" w:rsidRPr="004229C1" w14:paraId="78090D3E" w14:textId="77777777" w:rsidTr="00124344">
        <w:trPr>
          <w:trHeight w:val="200"/>
        </w:trPr>
        <w:tc>
          <w:tcPr>
            <w:tcW w:w="300" w:type="dxa"/>
            <w:gridSpan w:val="2"/>
            <w:tcBorders>
              <w:top w:val="single" w:sz="6" w:space="0" w:color="auto"/>
              <w:bottom w:val="single" w:sz="6" w:space="0" w:color="auto"/>
              <w:right w:val="single" w:sz="6" w:space="0" w:color="auto"/>
            </w:tcBorders>
          </w:tcPr>
          <w:p w14:paraId="7088CD88"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9700" w:type="dxa"/>
            <w:gridSpan w:val="5"/>
            <w:tcBorders>
              <w:top w:val="single" w:sz="6" w:space="0" w:color="auto"/>
              <w:left w:val="single" w:sz="6" w:space="0" w:color="auto"/>
              <w:bottom w:val="single" w:sz="6" w:space="0" w:color="auto"/>
            </w:tcBorders>
          </w:tcPr>
          <w:p w14:paraId="7E5CD7D0"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У 2024 році ПРАВЕКС БАНК продовжив активне впровадження принципів Глобального договору ООН, до якого приєднався у травні 2023 року. Банк зобов’язався дотримуватися 13 Цілей сталого розвитку в чотирьох ключових напрямах: захист прав людини, трудові відносини, охорона довкілля та боротьба з корупцією.</w:t>
            </w:r>
          </w:p>
          <w:p w14:paraId="4AD05108"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Дбаючи про навколишнє середовище, ПРАВЕКС БАНК реалізує екологічні ініціативи, що відповідають принципам Глобального договору ООН. Банк переконаний, що збереження біорізноманіття є важливим не лише на природоохоронних територіях, а й в урбанізованому середовищі.</w:t>
            </w:r>
          </w:p>
          <w:p w14:paraId="34C16D29"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У 2024 році Банк розпочав програму сортування відходів. У всіх відділеннях були встановлені спеціальні контейнери для роздільного збору паперу, пластику та скла.</w:t>
            </w:r>
          </w:p>
          <w:p w14:paraId="7B857BC8"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Завдяки активній участі співробітників за рік вдалося зібрати:</w:t>
            </w:r>
          </w:p>
          <w:p w14:paraId="4AEAA935"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w:t>
            </w:r>
            <w:r w:rsidRPr="004229C1">
              <w:rPr>
                <w:rFonts w:ascii="Times New Roman" w:eastAsia="Calibri" w:hAnsi="Times New Roman" w:cs="Times New Roman"/>
                <w:sz w:val="22"/>
                <w:szCs w:val="22"/>
                <w:lang w:val="uk-UA"/>
              </w:rPr>
              <w:tab/>
              <w:t>5 700 кг макулатури,</w:t>
            </w:r>
          </w:p>
          <w:p w14:paraId="276A3258"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w:t>
            </w:r>
            <w:r w:rsidRPr="004229C1">
              <w:rPr>
                <w:rFonts w:ascii="Times New Roman" w:eastAsia="Calibri" w:hAnsi="Times New Roman" w:cs="Times New Roman"/>
                <w:sz w:val="22"/>
                <w:szCs w:val="22"/>
                <w:lang w:val="uk-UA"/>
              </w:rPr>
              <w:tab/>
              <w:t>30 кг пластику,</w:t>
            </w:r>
          </w:p>
          <w:p w14:paraId="301A1683"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w:t>
            </w:r>
            <w:r w:rsidRPr="004229C1">
              <w:rPr>
                <w:rFonts w:ascii="Times New Roman" w:eastAsia="Calibri" w:hAnsi="Times New Roman" w:cs="Times New Roman"/>
                <w:sz w:val="22"/>
                <w:szCs w:val="22"/>
                <w:lang w:val="uk-UA"/>
              </w:rPr>
              <w:tab/>
              <w:t>45 кг скла.</w:t>
            </w:r>
          </w:p>
          <w:p w14:paraId="73DE706F"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Найактивнішими учасниками сортування стали Головний Банк, Вінницька та Полтавська обласні дирекції. ПРАВЕКС БАНК і надалі розвиватиме екологічні ініціативи, сприяючи зменшенню негативного впливу на довкілля.</w:t>
            </w:r>
          </w:p>
          <w:p w14:paraId="378C5227"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 Дня банківського працівника та напередодні Дня захисту дітей ПРАВЕКС БАНК спільно з Національним банком України вже традиційно організував марафон заходів із фінансової грамотності для дітей дошкільного та шкільного віку.</w:t>
            </w:r>
          </w:p>
          <w:p w14:paraId="1D387784"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Амбасадорами ініціативи стали сім співробітників Банку, які провели дев’ять уроків у навчальних закладах по всій Україні. Проєкт не лише допоміг дітям отримати важливі фінансові знання, а й підкреслив роль безперервного навчання як ключового елемента сталого розвитку та підвищення якості життя.</w:t>
            </w:r>
          </w:p>
          <w:p w14:paraId="1A4DB229"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У ПРАВЕКС БАНК ми віримо, що освіта починається з мови. Саме тому ми започаткували </w:t>
            </w:r>
            <w:proofErr w:type="spellStart"/>
            <w:r w:rsidRPr="004229C1">
              <w:rPr>
                <w:rFonts w:ascii="Times New Roman" w:eastAsia="Calibri" w:hAnsi="Times New Roman" w:cs="Times New Roman"/>
                <w:sz w:val="22"/>
                <w:szCs w:val="22"/>
                <w:lang w:val="uk-UA"/>
              </w:rPr>
              <w:t>проєкт</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Щебетунка</w:t>
            </w:r>
            <w:proofErr w:type="spellEnd"/>
            <w:r w:rsidRPr="004229C1">
              <w:rPr>
                <w:rFonts w:ascii="Times New Roman" w:eastAsia="Calibri" w:hAnsi="Times New Roman" w:cs="Times New Roman"/>
                <w:sz w:val="22"/>
                <w:szCs w:val="22"/>
                <w:lang w:val="uk-UA"/>
              </w:rPr>
              <w:t xml:space="preserve">», покликаний допомогти нашим співробітникам удосконалити знання української мови, розкрити її красу, багатство та виразність. Проєкт спрямований на те, щоб кожен почувався впевнено у своїй </w:t>
            </w:r>
            <w:proofErr w:type="spellStart"/>
            <w:r w:rsidRPr="004229C1">
              <w:rPr>
                <w:rFonts w:ascii="Times New Roman" w:eastAsia="Calibri" w:hAnsi="Times New Roman" w:cs="Times New Roman"/>
                <w:sz w:val="22"/>
                <w:szCs w:val="22"/>
                <w:lang w:val="uk-UA"/>
              </w:rPr>
              <w:t>мовній</w:t>
            </w:r>
            <w:proofErr w:type="spellEnd"/>
            <w:r w:rsidRPr="004229C1">
              <w:rPr>
                <w:rFonts w:ascii="Times New Roman" w:eastAsia="Calibri" w:hAnsi="Times New Roman" w:cs="Times New Roman"/>
                <w:sz w:val="22"/>
                <w:szCs w:val="22"/>
                <w:lang w:val="uk-UA"/>
              </w:rPr>
              <w:t xml:space="preserve"> грамотності та міг вільно використовувати українську мову в повсякденному житті. Ми переконані, що доступ до якісної освіти є запорукою особистого розвитку та успіху.</w:t>
            </w:r>
          </w:p>
          <w:p w14:paraId="31B89301"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ПРАВЕКС БАНК спільно з Київським міським центром крові вже другий рік поспіль реалізує соціальний проєкт «Корпоративний День Донора». У 2024 році до ініціативи долучилося 113 учасників, серед яких були співробітники, партнери та друзі Банку. Так, у 2024 році до нашого проекту долучився відомий український телеведучий та громадській діяч Олексій Суханов.</w:t>
            </w:r>
          </w:p>
          <w:p w14:paraId="10EC6B7A"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За підсумками 2024 року було здано майже 60 літрів крові для Київського міського центру крові. Загалом за два роки понад 180 співробітників Банку стали донорами, передавши 90 літрів крові. Такі ініціативи сприяють досягненню Цілей сталого розвитку ООН і відповідають принципам ESG, якими керується Банк у своїй стратегії розвитку. </w:t>
            </w:r>
          </w:p>
          <w:p w14:paraId="58E3E031"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Щодо соціальної відповідальності, Банк формує свою кадрову політику на засадах, що сприяють створенню, підтримці та розвитку висококваліфікованого та ефективного персоналу, здатного швидко реагувати на зміни ринку і спільно досягати стратегічних цілей організації. Працівники для Банку є найбільш цінним ресурсом, і тому він надає рівні можливості для оцінки, мотивації, кар'єрного росту та участі в нових ініціативах і проектах, що сприяють досягненню завдань, а також вирішенню соціальних і особистих питань співробітників. Всі працівники мають соціальні гарантії відповідно до законодавства України. Банк надає рівні можливості для працевлаштування без будь-якої дискримінації за віком або статтю та надає можливості кар’єрного розвитку молоді – студентам та випускникам навчальних закладів. </w:t>
            </w:r>
            <w:proofErr w:type="spellStart"/>
            <w:r w:rsidRPr="004229C1">
              <w:rPr>
                <w:rFonts w:ascii="Times New Roman" w:eastAsia="Calibri" w:hAnsi="Times New Roman" w:cs="Times New Roman"/>
                <w:sz w:val="22"/>
                <w:szCs w:val="22"/>
                <w:lang w:val="uk-UA"/>
              </w:rPr>
              <w:t>Вiдповiдно</w:t>
            </w:r>
            <w:proofErr w:type="spellEnd"/>
            <w:r w:rsidRPr="004229C1">
              <w:rPr>
                <w:rFonts w:ascii="Times New Roman" w:eastAsia="Calibri" w:hAnsi="Times New Roman" w:cs="Times New Roman"/>
                <w:sz w:val="22"/>
                <w:szCs w:val="22"/>
                <w:lang w:val="uk-UA"/>
              </w:rPr>
              <w:t xml:space="preserve"> до Кодексу </w:t>
            </w:r>
            <w:proofErr w:type="spellStart"/>
            <w:r w:rsidRPr="004229C1">
              <w:rPr>
                <w:rFonts w:ascii="Times New Roman" w:eastAsia="Calibri" w:hAnsi="Times New Roman" w:cs="Times New Roman"/>
                <w:sz w:val="22"/>
                <w:szCs w:val="22"/>
                <w:lang w:val="uk-UA"/>
              </w:rPr>
              <w:t>законiв</w:t>
            </w:r>
            <w:proofErr w:type="spellEnd"/>
            <w:r w:rsidRPr="004229C1">
              <w:rPr>
                <w:rFonts w:ascii="Times New Roman" w:eastAsia="Calibri" w:hAnsi="Times New Roman" w:cs="Times New Roman"/>
                <w:sz w:val="22"/>
                <w:szCs w:val="22"/>
                <w:lang w:val="uk-UA"/>
              </w:rPr>
              <w:t xml:space="preserve"> про працю України, а також власних Принципів різноманітності та </w:t>
            </w:r>
            <w:proofErr w:type="spellStart"/>
            <w:r w:rsidRPr="004229C1">
              <w:rPr>
                <w:rFonts w:ascii="Times New Roman" w:eastAsia="Calibri" w:hAnsi="Times New Roman" w:cs="Times New Roman"/>
                <w:sz w:val="22"/>
                <w:szCs w:val="22"/>
                <w:lang w:val="uk-UA"/>
              </w:rPr>
              <w:t>інклюзивності</w:t>
            </w:r>
            <w:proofErr w:type="spellEnd"/>
            <w:r w:rsidRPr="004229C1">
              <w:rPr>
                <w:rFonts w:ascii="Times New Roman" w:eastAsia="Calibri" w:hAnsi="Times New Roman" w:cs="Times New Roman"/>
                <w:sz w:val="22"/>
                <w:szCs w:val="22"/>
                <w:lang w:val="uk-UA"/>
              </w:rPr>
              <w:t xml:space="preserve"> АТ «ПРАВЕКС БАНК», банк у своїй </w:t>
            </w:r>
            <w:proofErr w:type="spellStart"/>
            <w:r w:rsidRPr="004229C1">
              <w:rPr>
                <w:rFonts w:ascii="Times New Roman" w:eastAsia="Calibri" w:hAnsi="Times New Roman" w:cs="Times New Roman"/>
                <w:sz w:val="22"/>
                <w:szCs w:val="22"/>
                <w:lang w:val="uk-UA"/>
              </w:rPr>
              <w:t>дiяльностi</w:t>
            </w:r>
            <w:proofErr w:type="spellEnd"/>
            <w:r w:rsidRPr="004229C1">
              <w:rPr>
                <w:rFonts w:ascii="Times New Roman" w:eastAsia="Calibri" w:hAnsi="Times New Roman" w:cs="Times New Roman"/>
                <w:sz w:val="22"/>
                <w:szCs w:val="22"/>
                <w:lang w:val="uk-UA"/>
              </w:rPr>
              <w:t xml:space="preserve"> неухильно дотримується </w:t>
            </w:r>
            <w:proofErr w:type="spellStart"/>
            <w:r w:rsidRPr="004229C1">
              <w:rPr>
                <w:rFonts w:ascii="Times New Roman" w:eastAsia="Calibri" w:hAnsi="Times New Roman" w:cs="Times New Roman"/>
                <w:sz w:val="22"/>
                <w:szCs w:val="22"/>
                <w:lang w:val="uk-UA"/>
              </w:rPr>
              <w:t>принципiв</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рiвностi</w:t>
            </w:r>
            <w:proofErr w:type="spellEnd"/>
            <w:r w:rsidRPr="004229C1">
              <w:rPr>
                <w:rFonts w:ascii="Times New Roman" w:eastAsia="Calibri" w:hAnsi="Times New Roman" w:cs="Times New Roman"/>
                <w:sz w:val="22"/>
                <w:szCs w:val="22"/>
                <w:lang w:val="uk-UA"/>
              </w:rPr>
              <w:t xml:space="preserve"> та розмаїття. У </w:t>
            </w:r>
            <w:proofErr w:type="spellStart"/>
            <w:r w:rsidRPr="004229C1">
              <w:rPr>
                <w:rFonts w:ascii="Times New Roman" w:eastAsia="Calibri" w:hAnsi="Times New Roman" w:cs="Times New Roman"/>
                <w:sz w:val="22"/>
                <w:szCs w:val="22"/>
                <w:lang w:val="uk-UA"/>
              </w:rPr>
              <w:t>компанiї</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вiдсутня</w:t>
            </w:r>
            <w:proofErr w:type="spellEnd"/>
            <w:r w:rsidRPr="004229C1">
              <w:rPr>
                <w:rFonts w:ascii="Times New Roman" w:eastAsia="Calibri" w:hAnsi="Times New Roman" w:cs="Times New Roman"/>
                <w:sz w:val="22"/>
                <w:szCs w:val="22"/>
                <w:lang w:val="uk-UA"/>
              </w:rPr>
              <w:t xml:space="preserve"> будь-яка </w:t>
            </w:r>
            <w:proofErr w:type="spellStart"/>
            <w:r w:rsidRPr="004229C1">
              <w:rPr>
                <w:rFonts w:ascii="Times New Roman" w:eastAsia="Calibri" w:hAnsi="Times New Roman" w:cs="Times New Roman"/>
                <w:sz w:val="22"/>
                <w:szCs w:val="22"/>
                <w:lang w:val="uk-UA"/>
              </w:rPr>
              <w:t>дискримiнацiя</w:t>
            </w:r>
            <w:proofErr w:type="spellEnd"/>
            <w:r w:rsidRPr="004229C1">
              <w:rPr>
                <w:rFonts w:ascii="Times New Roman" w:eastAsia="Calibri" w:hAnsi="Times New Roman" w:cs="Times New Roman"/>
                <w:sz w:val="22"/>
                <w:szCs w:val="22"/>
                <w:lang w:val="uk-UA"/>
              </w:rPr>
              <w:t xml:space="preserve"> та </w:t>
            </w:r>
            <w:proofErr w:type="spellStart"/>
            <w:r w:rsidRPr="004229C1">
              <w:rPr>
                <w:rFonts w:ascii="Times New Roman" w:eastAsia="Calibri" w:hAnsi="Times New Roman" w:cs="Times New Roman"/>
                <w:sz w:val="22"/>
                <w:szCs w:val="22"/>
                <w:lang w:val="uk-UA"/>
              </w:rPr>
              <w:t>переслiдування</w:t>
            </w:r>
            <w:proofErr w:type="spellEnd"/>
            <w:r w:rsidRPr="004229C1">
              <w:rPr>
                <w:rFonts w:ascii="Times New Roman" w:eastAsia="Calibri" w:hAnsi="Times New Roman" w:cs="Times New Roman"/>
                <w:sz w:val="22"/>
                <w:szCs w:val="22"/>
                <w:lang w:val="uk-UA"/>
              </w:rPr>
              <w:t xml:space="preserve"> на робочому </w:t>
            </w:r>
            <w:proofErr w:type="spellStart"/>
            <w:r w:rsidRPr="004229C1">
              <w:rPr>
                <w:rFonts w:ascii="Times New Roman" w:eastAsia="Calibri" w:hAnsi="Times New Roman" w:cs="Times New Roman"/>
                <w:sz w:val="22"/>
                <w:szCs w:val="22"/>
                <w:lang w:val="uk-UA"/>
              </w:rPr>
              <w:t>мiсцi</w:t>
            </w:r>
            <w:proofErr w:type="spellEnd"/>
            <w:r w:rsidRPr="004229C1">
              <w:rPr>
                <w:rFonts w:ascii="Times New Roman" w:eastAsia="Calibri" w:hAnsi="Times New Roman" w:cs="Times New Roman"/>
                <w:sz w:val="22"/>
                <w:szCs w:val="22"/>
                <w:lang w:val="uk-UA"/>
              </w:rPr>
              <w:t xml:space="preserve">. Банк сприяє створенню середовища, у якому </w:t>
            </w:r>
            <w:proofErr w:type="spellStart"/>
            <w:r w:rsidRPr="004229C1">
              <w:rPr>
                <w:rFonts w:ascii="Times New Roman" w:eastAsia="Calibri" w:hAnsi="Times New Roman" w:cs="Times New Roman"/>
                <w:sz w:val="22"/>
                <w:szCs w:val="22"/>
                <w:lang w:val="uk-UA"/>
              </w:rPr>
              <w:t>працiвники</w:t>
            </w:r>
            <w:proofErr w:type="spellEnd"/>
            <w:r w:rsidRPr="004229C1">
              <w:rPr>
                <w:rFonts w:ascii="Times New Roman" w:eastAsia="Calibri" w:hAnsi="Times New Roman" w:cs="Times New Roman"/>
                <w:sz w:val="22"/>
                <w:szCs w:val="22"/>
                <w:lang w:val="uk-UA"/>
              </w:rPr>
              <w:t xml:space="preserve"> ставляться один до одного </w:t>
            </w:r>
            <w:proofErr w:type="spellStart"/>
            <w:r w:rsidRPr="004229C1">
              <w:rPr>
                <w:rFonts w:ascii="Times New Roman" w:eastAsia="Calibri" w:hAnsi="Times New Roman" w:cs="Times New Roman"/>
                <w:sz w:val="22"/>
                <w:szCs w:val="22"/>
                <w:lang w:val="uk-UA"/>
              </w:rPr>
              <w:t>зi</w:t>
            </w:r>
            <w:proofErr w:type="spellEnd"/>
            <w:r w:rsidRPr="004229C1">
              <w:rPr>
                <w:rFonts w:ascii="Times New Roman" w:eastAsia="Calibri" w:hAnsi="Times New Roman" w:cs="Times New Roman"/>
                <w:sz w:val="22"/>
                <w:szCs w:val="22"/>
                <w:lang w:val="uk-UA"/>
              </w:rPr>
              <w:t xml:space="preserve"> взаємною повагою, а також </w:t>
            </w:r>
            <w:proofErr w:type="spellStart"/>
            <w:r w:rsidRPr="004229C1">
              <w:rPr>
                <w:rFonts w:ascii="Times New Roman" w:eastAsia="Calibri" w:hAnsi="Times New Roman" w:cs="Times New Roman"/>
                <w:sz w:val="22"/>
                <w:szCs w:val="22"/>
                <w:lang w:val="uk-UA"/>
              </w:rPr>
              <w:t>цiнує</w:t>
            </w:r>
            <w:proofErr w:type="spellEnd"/>
            <w:r w:rsidRPr="004229C1">
              <w:rPr>
                <w:rFonts w:ascii="Times New Roman" w:eastAsia="Calibri" w:hAnsi="Times New Roman" w:cs="Times New Roman"/>
                <w:sz w:val="22"/>
                <w:szCs w:val="22"/>
                <w:lang w:val="uk-UA"/>
              </w:rPr>
              <w:t xml:space="preserve"> та </w:t>
            </w:r>
            <w:proofErr w:type="spellStart"/>
            <w:r w:rsidRPr="004229C1">
              <w:rPr>
                <w:rFonts w:ascii="Times New Roman" w:eastAsia="Calibri" w:hAnsi="Times New Roman" w:cs="Times New Roman"/>
                <w:sz w:val="22"/>
                <w:szCs w:val="22"/>
                <w:lang w:val="uk-UA"/>
              </w:rPr>
              <w:t>пiдтримує</w:t>
            </w:r>
            <w:proofErr w:type="spellEnd"/>
            <w:r w:rsidRPr="004229C1">
              <w:rPr>
                <w:rFonts w:ascii="Times New Roman" w:eastAsia="Calibri" w:hAnsi="Times New Roman" w:cs="Times New Roman"/>
                <w:sz w:val="22"/>
                <w:szCs w:val="22"/>
                <w:lang w:val="uk-UA"/>
              </w:rPr>
              <w:t xml:space="preserve"> розмаїття </w:t>
            </w:r>
            <w:proofErr w:type="spellStart"/>
            <w:r w:rsidRPr="004229C1">
              <w:rPr>
                <w:rFonts w:ascii="Times New Roman" w:eastAsia="Calibri" w:hAnsi="Times New Roman" w:cs="Times New Roman"/>
                <w:sz w:val="22"/>
                <w:szCs w:val="22"/>
                <w:lang w:val="uk-UA"/>
              </w:rPr>
              <w:t>поглядiв</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здiбностей</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досвiду</w:t>
            </w:r>
            <w:proofErr w:type="spellEnd"/>
            <w:r w:rsidRPr="004229C1">
              <w:rPr>
                <w:rFonts w:ascii="Times New Roman" w:eastAsia="Calibri" w:hAnsi="Times New Roman" w:cs="Times New Roman"/>
                <w:sz w:val="22"/>
                <w:szCs w:val="22"/>
                <w:lang w:val="uk-UA"/>
              </w:rPr>
              <w:t>, потреб персоналу.</w:t>
            </w:r>
          </w:p>
          <w:p w14:paraId="391C8C78"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Працівники Банку мають змогу підвищувати свою кваліфікацію через участь у тренінгах, семінарах та інших заходах, що сприяють розвитку професійних навичок, у тому числі через обмін досвідом. Навчання відбувається як на рівні Банку, так і в рамках Групи. Банк </w:t>
            </w:r>
            <w:proofErr w:type="spellStart"/>
            <w:r w:rsidRPr="004229C1">
              <w:rPr>
                <w:rFonts w:ascii="Times New Roman" w:eastAsia="Calibri" w:hAnsi="Times New Roman" w:cs="Times New Roman"/>
                <w:sz w:val="22"/>
                <w:szCs w:val="22"/>
                <w:lang w:val="uk-UA"/>
              </w:rPr>
              <w:t>здiйснює</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системнi</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iнвестицiї</w:t>
            </w:r>
            <w:proofErr w:type="spellEnd"/>
            <w:r w:rsidRPr="004229C1">
              <w:rPr>
                <w:rFonts w:ascii="Times New Roman" w:eastAsia="Calibri" w:hAnsi="Times New Roman" w:cs="Times New Roman"/>
                <w:sz w:val="22"/>
                <w:szCs w:val="22"/>
                <w:lang w:val="uk-UA"/>
              </w:rPr>
              <w:t xml:space="preserve"> у навчання та розвиток персоналу й активно використовує власний кадровий резерв для заповнення </w:t>
            </w:r>
            <w:proofErr w:type="spellStart"/>
            <w:r w:rsidRPr="004229C1">
              <w:rPr>
                <w:rFonts w:ascii="Times New Roman" w:eastAsia="Calibri" w:hAnsi="Times New Roman" w:cs="Times New Roman"/>
                <w:sz w:val="22"/>
                <w:szCs w:val="22"/>
                <w:lang w:val="uk-UA"/>
              </w:rPr>
              <w:t>управлiнських</w:t>
            </w:r>
            <w:proofErr w:type="spellEnd"/>
            <w:r w:rsidRPr="004229C1">
              <w:rPr>
                <w:rFonts w:ascii="Times New Roman" w:eastAsia="Calibri" w:hAnsi="Times New Roman" w:cs="Times New Roman"/>
                <w:sz w:val="22"/>
                <w:szCs w:val="22"/>
                <w:lang w:val="uk-UA"/>
              </w:rPr>
              <w:t xml:space="preserve"> посад. </w:t>
            </w:r>
            <w:proofErr w:type="spellStart"/>
            <w:r w:rsidRPr="004229C1">
              <w:rPr>
                <w:rFonts w:ascii="Times New Roman" w:eastAsia="Calibri" w:hAnsi="Times New Roman" w:cs="Times New Roman"/>
                <w:sz w:val="22"/>
                <w:szCs w:val="22"/>
                <w:lang w:val="uk-UA"/>
              </w:rPr>
              <w:t>Працiвники</w:t>
            </w:r>
            <w:proofErr w:type="spellEnd"/>
            <w:r w:rsidRPr="004229C1">
              <w:rPr>
                <w:rFonts w:ascii="Times New Roman" w:eastAsia="Calibri" w:hAnsi="Times New Roman" w:cs="Times New Roman"/>
                <w:sz w:val="22"/>
                <w:szCs w:val="22"/>
                <w:lang w:val="uk-UA"/>
              </w:rPr>
              <w:t xml:space="preserve"> долучаються до </w:t>
            </w:r>
            <w:proofErr w:type="spellStart"/>
            <w:r w:rsidRPr="004229C1">
              <w:rPr>
                <w:rFonts w:ascii="Times New Roman" w:eastAsia="Calibri" w:hAnsi="Times New Roman" w:cs="Times New Roman"/>
                <w:sz w:val="22"/>
                <w:szCs w:val="22"/>
                <w:lang w:val="uk-UA"/>
              </w:rPr>
              <w:t>рiзноманiтних</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тренiнгiв</w:t>
            </w:r>
            <w:proofErr w:type="spellEnd"/>
            <w:r w:rsidRPr="004229C1">
              <w:rPr>
                <w:rFonts w:ascii="Times New Roman" w:eastAsia="Calibri" w:hAnsi="Times New Roman" w:cs="Times New Roman"/>
                <w:sz w:val="22"/>
                <w:szCs w:val="22"/>
                <w:lang w:val="uk-UA"/>
              </w:rPr>
              <w:t xml:space="preserve">, спрямованих на </w:t>
            </w:r>
            <w:proofErr w:type="spellStart"/>
            <w:r w:rsidRPr="004229C1">
              <w:rPr>
                <w:rFonts w:ascii="Times New Roman" w:eastAsia="Calibri" w:hAnsi="Times New Roman" w:cs="Times New Roman"/>
                <w:sz w:val="22"/>
                <w:szCs w:val="22"/>
                <w:lang w:val="uk-UA"/>
              </w:rPr>
              <w:t>пiдвищення</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професiйного</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рiвня</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управлiнських</w:t>
            </w:r>
            <w:proofErr w:type="spellEnd"/>
            <w:r w:rsidRPr="004229C1">
              <w:rPr>
                <w:rFonts w:ascii="Times New Roman" w:eastAsia="Calibri" w:hAnsi="Times New Roman" w:cs="Times New Roman"/>
                <w:sz w:val="22"/>
                <w:szCs w:val="22"/>
                <w:lang w:val="uk-UA"/>
              </w:rPr>
              <w:t xml:space="preserve"> знань i навичок, розвиток </w:t>
            </w:r>
            <w:proofErr w:type="spellStart"/>
            <w:r w:rsidRPr="004229C1">
              <w:rPr>
                <w:rFonts w:ascii="Times New Roman" w:eastAsia="Calibri" w:hAnsi="Times New Roman" w:cs="Times New Roman"/>
                <w:sz w:val="22"/>
                <w:szCs w:val="22"/>
                <w:lang w:val="uk-UA"/>
              </w:rPr>
              <w:t>soft</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skills</w:t>
            </w:r>
            <w:proofErr w:type="spellEnd"/>
            <w:r w:rsidRPr="004229C1">
              <w:rPr>
                <w:rFonts w:ascii="Times New Roman" w:eastAsia="Calibri" w:hAnsi="Times New Roman" w:cs="Times New Roman"/>
                <w:sz w:val="22"/>
                <w:szCs w:val="22"/>
                <w:lang w:val="uk-UA"/>
              </w:rPr>
              <w:t xml:space="preserve"> тощо. За 2024 </w:t>
            </w:r>
            <w:proofErr w:type="spellStart"/>
            <w:r w:rsidRPr="004229C1">
              <w:rPr>
                <w:rFonts w:ascii="Times New Roman" w:eastAsia="Calibri" w:hAnsi="Times New Roman" w:cs="Times New Roman"/>
                <w:sz w:val="22"/>
                <w:szCs w:val="22"/>
                <w:lang w:val="uk-UA"/>
              </w:rPr>
              <w:t>рiк</w:t>
            </w:r>
            <w:proofErr w:type="spellEnd"/>
            <w:r w:rsidRPr="004229C1">
              <w:rPr>
                <w:rFonts w:ascii="Times New Roman" w:eastAsia="Calibri" w:hAnsi="Times New Roman" w:cs="Times New Roman"/>
                <w:sz w:val="22"/>
                <w:szCs w:val="22"/>
                <w:lang w:val="uk-UA"/>
              </w:rPr>
              <w:t xml:space="preserve"> банком було </w:t>
            </w:r>
            <w:proofErr w:type="spellStart"/>
            <w:r w:rsidRPr="004229C1">
              <w:rPr>
                <w:rFonts w:ascii="Times New Roman" w:eastAsia="Calibri" w:hAnsi="Times New Roman" w:cs="Times New Roman"/>
                <w:sz w:val="22"/>
                <w:szCs w:val="22"/>
                <w:lang w:val="uk-UA"/>
              </w:rPr>
              <w:t>органiзовано</w:t>
            </w:r>
            <w:proofErr w:type="spellEnd"/>
            <w:r w:rsidRPr="004229C1">
              <w:rPr>
                <w:rFonts w:ascii="Times New Roman" w:eastAsia="Calibri" w:hAnsi="Times New Roman" w:cs="Times New Roman"/>
                <w:sz w:val="22"/>
                <w:szCs w:val="22"/>
                <w:lang w:val="uk-UA"/>
              </w:rPr>
              <w:t xml:space="preserve"> та проведено 56 внутрішніх </w:t>
            </w:r>
            <w:proofErr w:type="spellStart"/>
            <w:r w:rsidRPr="004229C1">
              <w:rPr>
                <w:rFonts w:ascii="Times New Roman" w:eastAsia="Calibri" w:hAnsi="Times New Roman" w:cs="Times New Roman"/>
                <w:sz w:val="22"/>
                <w:szCs w:val="22"/>
                <w:lang w:val="uk-UA"/>
              </w:rPr>
              <w:t>тренiнгових</w:t>
            </w:r>
            <w:proofErr w:type="spellEnd"/>
            <w:r w:rsidRPr="004229C1">
              <w:rPr>
                <w:rFonts w:ascii="Times New Roman" w:eastAsia="Calibri" w:hAnsi="Times New Roman" w:cs="Times New Roman"/>
                <w:sz w:val="22"/>
                <w:szCs w:val="22"/>
                <w:lang w:val="uk-UA"/>
              </w:rPr>
              <w:t xml:space="preserve"> програм для 711 учасників, </w:t>
            </w:r>
            <w:proofErr w:type="spellStart"/>
            <w:r w:rsidRPr="004229C1">
              <w:rPr>
                <w:rFonts w:ascii="Times New Roman" w:eastAsia="Calibri" w:hAnsi="Times New Roman" w:cs="Times New Roman"/>
                <w:sz w:val="22"/>
                <w:szCs w:val="22"/>
                <w:lang w:val="uk-UA"/>
              </w:rPr>
              <w:t>якi</w:t>
            </w:r>
            <w:proofErr w:type="spellEnd"/>
            <w:r w:rsidRPr="004229C1">
              <w:rPr>
                <w:rFonts w:ascii="Times New Roman" w:eastAsia="Calibri" w:hAnsi="Times New Roman" w:cs="Times New Roman"/>
                <w:sz w:val="22"/>
                <w:szCs w:val="22"/>
                <w:lang w:val="uk-UA"/>
              </w:rPr>
              <w:t xml:space="preserve"> покривають i </w:t>
            </w:r>
            <w:proofErr w:type="spellStart"/>
            <w:r w:rsidRPr="004229C1">
              <w:rPr>
                <w:rFonts w:ascii="Times New Roman" w:eastAsia="Calibri" w:hAnsi="Times New Roman" w:cs="Times New Roman"/>
                <w:sz w:val="22"/>
                <w:szCs w:val="22"/>
                <w:lang w:val="uk-UA"/>
              </w:rPr>
              <w:t>soft</w:t>
            </w:r>
            <w:proofErr w:type="spellEnd"/>
            <w:r w:rsidRPr="004229C1">
              <w:rPr>
                <w:rFonts w:ascii="Times New Roman" w:eastAsia="Calibri" w:hAnsi="Times New Roman" w:cs="Times New Roman"/>
                <w:sz w:val="22"/>
                <w:szCs w:val="22"/>
                <w:lang w:val="uk-UA"/>
              </w:rPr>
              <w:t xml:space="preserve">, i </w:t>
            </w:r>
            <w:proofErr w:type="spellStart"/>
            <w:r w:rsidRPr="004229C1">
              <w:rPr>
                <w:rFonts w:ascii="Times New Roman" w:eastAsia="Calibri" w:hAnsi="Times New Roman" w:cs="Times New Roman"/>
                <w:sz w:val="22"/>
                <w:szCs w:val="22"/>
                <w:lang w:val="uk-UA"/>
              </w:rPr>
              <w:t>hard</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skills</w:t>
            </w:r>
            <w:proofErr w:type="spellEnd"/>
            <w:r w:rsidRPr="004229C1">
              <w:rPr>
                <w:rFonts w:ascii="Times New Roman" w:eastAsia="Calibri" w:hAnsi="Times New Roman" w:cs="Times New Roman"/>
                <w:sz w:val="22"/>
                <w:szCs w:val="22"/>
                <w:lang w:val="uk-UA"/>
              </w:rPr>
              <w:t>. Також Банк організував участь працівників в 68 зовнішніх навчальних програмах та конференціях. Протягом року 618 співробітників Банку провели 5290 годин на навчаннях з напрямку ESG (екологічні, соціальні та управлінські питання). Основними темами були права людини, різноманітність та інклюзія, охорона праці, сталий розвиток і боротьба з корупцією.</w:t>
            </w:r>
          </w:p>
          <w:p w14:paraId="1745BB2D"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proofErr w:type="spellStart"/>
            <w:r w:rsidRPr="004229C1">
              <w:rPr>
                <w:rFonts w:ascii="Times New Roman" w:eastAsia="Calibri" w:hAnsi="Times New Roman" w:cs="Times New Roman"/>
                <w:sz w:val="22"/>
                <w:szCs w:val="22"/>
                <w:lang w:val="uk-UA"/>
              </w:rPr>
              <w:t>Bпродовж</w:t>
            </w:r>
            <w:proofErr w:type="spellEnd"/>
            <w:r w:rsidRPr="004229C1">
              <w:rPr>
                <w:rFonts w:ascii="Times New Roman" w:eastAsia="Calibri" w:hAnsi="Times New Roman" w:cs="Times New Roman"/>
                <w:sz w:val="22"/>
                <w:szCs w:val="22"/>
                <w:lang w:val="uk-UA"/>
              </w:rPr>
              <w:t xml:space="preserve"> року Банк активно організовував семінари для студентів, зокрема, чотири семінари з фінансової грамотності.</w:t>
            </w:r>
          </w:p>
          <w:p w14:paraId="692A702E"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Банк втілює принципи ESG через Внутрішній Кодекс Поведінки AT“ПРАВЕКС БАНК”, який визначає етичні стандарти для взаємин всередині організації та з клієнтами. Кодекс допомагає зберігати організаційну та ідейну єдність, необхідну для сталого розвитку, і є основою для ведення бізнесу, що дозволяє надавати високоякісні послуги клієнтам.</w:t>
            </w:r>
          </w:p>
          <w:p w14:paraId="1C1E95D1"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 умовах зовнішніх викликів, спричинених повномасштабним вторгненням, ПРАВЕКС БАНК за підтримки материнської компанії реалізує проєкти для допомоги працівникам у відновленні психологічної стабільності. В 2024 році продовжила діяти служба професійної психологічної підтримки «</w:t>
            </w:r>
            <w:proofErr w:type="spellStart"/>
            <w:r w:rsidRPr="004229C1">
              <w:rPr>
                <w:rFonts w:ascii="Times New Roman" w:eastAsia="Calibri" w:hAnsi="Times New Roman" w:cs="Times New Roman"/>
                <w:sz w:val="22"/>
                <w:szCs w:val="22"/>
                <w:lang w:val="uk-UA"/>
              </w:rPr>
              <w:t>Care</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Connect</w:t>
            </w:r>
            <w:proofErr w:type="spellEnd"/>
            <w:r w:rsidRPr="004229C1">
              <w:rPr>
                <w:rFonts w:ascii="Times New Roman" w:eastAsia="Calibri" w:hAnsi="Times New Roman" w:cs="Times New Roman"/>
                <w:sz w:val="22"/>
                <w:szCs w:val="22"/>
                <w:lang w:val="uk-UA"/>
              </w:rPr>
              <w:t xml:space="preserve">», яка надається європейською консалтинговою компанією </w:t>
            </w:r>
            <w:proofErr w:type="spellStart"/>
            <w:r w:rsidRPr="004229C1">
              <w:rPr>
                <w:rFonts w:ascii="Times New Roman" w:eastAsia="Calibri" w:hAnsi="Times New Roman" w:cs="Times New Roman"/>
                <w:sz w:val="22"/>
                <w:szCs w:val="22"/>
                <w:lang w:val="uk-UA"/>
              </w:rPr>
              <w:t>Stimulus</w:t>
            </w:r>
            <w:proofErr w:type="spellEnd"/>
            <w:r w:rsidRPr="004229C1">
              <w:rPr>
                <w:rFonts w:ascii="Times New Roman" w:eastAsia="Calibri" w:hAnsi="Times New Roman" w:cs="Times New Roman"/>
                <w:sz w:val="22"/>
                <w:szCs w:val="22"/>
                <w:lang w:val="uk-UA"/>
              </w:rPr>
              <w:t>. Ця безкоштовна та конфіденційна послуга доступна 24/7 для всіх співробітників Банку.</w:t>
            </w:r>
          </w:p>
          <w:p w14:paraId="5C662520" w14:textId="77777777" w:rsidR="009C6F5E" w:rsidRPr="004229C1" w:rsidRDefault="009C6F5E" w:rsidP="00124344">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 xml:space="preserve">Банк </w:t>
            </w:r>
            <w:proofErr w:type="spellStart"/>
            <w:r w:rsidRPr="004229C1">
              <w:rPr>
                <w:rFonts w:ascii="Times New Roman" w:eastAsia="Calibri" w:hAnsi="Times New Roman" w:cs="Times New Roman"/>
                <w:sz w:val="22"/>
                <w:szCs w:val="22"/>
                <w:lang w:val="uk-UA"/>
              </w:rPr>
              <w:t>пiклується</w:t>
            </w:r>
            <w:proofErr w:type="spellEnd"/>
            <w:r w:rsidRPr="004229C1">
              <w:rPr>
                <w:rFonts w:ascii="Times New Roman" w:eastAsia="Calibri" w:hAnsi="Times New Roman" w:cs="Times New Roman"/>
                <w:sz w:val="22"/>
                <w:szCs w:val="22"/>
                <w:lang w:val="uk-UA"/>
              </w:rPr>
              <w:t xml:space="preserve"> й про </w:t>
            </w:r>
            <w:proofErr w:type="spellStart"/>
            <w:r w:rsidRPr="004229C1">
              <w:rPr>
                <w:rFonts w:ascii="Times New Roman" w:eastAsia="Calibri" w:hAnsi="Times New Roman" w:cs="Times New Roman"/>
                <w:sz w:val="22"/>
                <w:szCs w:val="22"/>
                <w:lang w:val="uk-UA"/>
              </w:rPr>
              <w:t>фiзичне</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здоров"я</w:t>
            </w:r>
            <w:proofErr w:type="spellEnd"/>
            <w:r w:rsidRPr="004229C1">
              <w:rPr>
                <w:rFonts w:ascii="Times New Roman" w:eastAsia="Calibri" w:hAnsi="Times New Roman" w:cs="Times New Roman"/>
                <w:sz w:val="22"/>
                <w:szCs w:val="22"/>
                <w:lang w:val="uk-UA"/>
              </w:rPr>
              <w:t xml:space="preserve">: всі </w:t>
            </w:r>
            <w:proofErr w:type="spellStart"/>
            <w:r w:rsidRPr="004229C1">
              <w:rPr>
                <w:rFonts w:ascii="Times New Roman" w:eastAsia="Calibri" w:hAnsi="Times New Roman" w:cs="Times New Roman"/>
                <w:sz w:val="22"/>
                <w:szCs w:val="22"/>
                <w:lang w:val="uk-UA"/>
              </w:rPr>
              <w:t>працiвники</w:t>
            </w:r>
            <w:proofErr w:type="spellEnd"/>
            <w:r w:rsidRPr="004229C1">
              <w:rPr>
                <w:rFonts w:ascii="Times New Roman" w:eastAsia="Calibri" w:hAnsi="Times New Roman" w:cs="Times New Roman"/>
                <w:sz w:val="22"/>
                <w:szCs w:val="22"/>
                <w:lang w:val="uk-UA"/>
              </w:rPr>
              <w:t xml:space="preserve"> банку включені в Міжнародну медичну програму від компанії </w:t>
            </w:r>
            <w:proofErr w:type="spellStart"/>
            <w:r w:rsidRPr="004229C1">
              <w:rPr>
                <w:rFonts w:ascii="Times New Roman" w:eastAsia="Calibri" w:hAnsi="Times New Roman" w:cs="Times New Roman"/>
                <w:sz w:val="22"/>
                <w:szCs w:val="22"/>
                <w:lang w:val="uk-UA"/>
              </w:rPr>
              <w:t>Further</w:t>
            </w:r>
            <w:proofErr w:type="spellEnd"/>
            <w:r w:rsidRPr="004229C1">
              <w:rPr>
                <w:rFonts w:ascii="Times New Roman" w:eastAsia="Calibri" w:hAnsi="Times New Roman" w:cs="Times New Roman"/>
                <w:sz w:val="22"/>
                <w:szCs w:val="22"/>
                <w:lang w:val="uk-UA"/>
              </w:rPr>
              <w:t>. Міжнародна медична програма з охорони здоров'я, у рамках якої працівники можуть отримати доступ до експертної другої медичної думки, доступ до можливостей прецизійної медицини при певних онкологічних діагнозах, страхове покриття на лікування захворювань та оплати медичних процедур.</w:t>
            </w:r>
          </w:p>
          <w:p w14:paraId="55AB314A" w14:textId="77777777" w:rsidR="009C6F5E" w:rsidRPr="004229C1" w:rsidRDefault="009C6F5E" w:rsidP="00124344">
            <w:pPr>
              <w:pStyle w:val="NoSpacing"/>
              <w:ind w:firstLine="567"/>
              <w:jc w:val="both"/>
              <w:rPr>
                <w:rFonts w:ascii="Times New Roman" w:eastAsia="Calibri" w:hAnsi="Times New Roman" w:cs="Times New Roman"/>
                <w:b w:val="0"/>
                <w:color w:val="auto"/>
                <w:sz w:val="22"/>
                <w:lang w:val="uk-UA"/>
              </w:rPr>
            </w:pPr>
            <w:r w:rsidRPr="004229C1">
              <w:rPr>
                <w:rFonts w:ascii="Times New Roman" w:eastAsia="Calibri" w:hAnsi="Times New Roman" w:cs="Times New Roman"/>
                <w:b w:val="0"/>
                <w:color w:val="auto"/>
                <w:sz w:val="22"/>
                <w:lang w:val="uk-UA"/>
              </w:rPr>
              <w:t xml:space="preserve">У звітному періоді Банк реалізував низку бізнес ініціатив, що відповідають принципам ESG. У сфері екологічної відповідальності погоджені пільгові умови кредитування бізнес-клієнтів на енергоефективні заходи, що сприяє зменшенню вуглецевого сліду та підвищенню енергонезалежності бізнесу. У соціальному вимірі спрощено доступ підприємців до банківських послуг через онлайн-відкриття рахунків для приватних підприємців та юридичних осіб, що розширює фінансову інклюзію та знижує адміністративне навантаження. Крім того, впроваджено можливість відкриття корпоративної картки та строкового депозиту для приватних підприємців через мобільний застосунок, що покращує </w:t>
            </w:r>
            <w:proofErr w:type="spellStart"/>
            <w:r w:rsidRPr="004229C1">
              <w:rPr>
                <w:rFonts w:ascii="Times New Roman" w:eastAsia="Calibri" w:hAnsi="Times New Roman" w:cs="Times New Roman"/>
                <w:b w:val="0"/>
                <w:color w:val="auto"/>
                <w:sz w:val="22"/>
                <w:lang w:val="uk-UA"/>
              </w:rPr>
              <w:t>цифровізацію</w:t>
            </w:r>
            <w:proofErr w:type="spellEnd"/>
            <w:r w:rsidRPr="004229C1">
              <w:rPr>
                <w:rFonts w:ascii="Times New Roman" w:eastAsia="Calibri" w:hAnsi="Times New Roman" w:cs="Times New Roman"/>
                <w:b w:val="0"/>
                <w:color w:val="auto"/>
                <w:sz w:val="22"/>
                <w:lang w:val="uk-UA"/>
              </w:rPr>
              <w:t xml:space="preserve"> фінансових операцій. Банк активізував цифрову трансформацію процесів через використання КЕП для підписання договорів, що підвищує ефективність та прозорість взаємодії з клієнтами, а також зменшує використання паперових документів, сприяючи екологічності операцій.</w:t>
            </w:r>
          </w:p>
          <w:p w14:paraId="164534D8" w14:textId="2AD667E7" w:rsidR="007469BF" w:rsidRPr="004229C1" w:rsidRDefault="007469BF" w:rsidP="00124344">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7469BF" w:rsidRPr="004229C1" w14:paraId="3EAD6842" w14:textId="77777777" w:rsidTr="00124344">
        <w:trPr>
          <w:trHeight w:val="200"/>
        </w:trPr>
        <w:tc>
          <w:tcPr>
            <w:tcW w:w="300" w:type="dxa"/>
            <w:gridSpan w:val="2"/>
            <w:tcBorders>
              <w:top w:val="single" w:sz="6" w:space="0" w:color="auto"/>
              <w:bottom w:val="single" w:sz="6" w:space="0" w:color="auto"/>
              <w:right w:val="single" w:sz="6" w:space="0" w:color="auto"/>
            </w:tcBorders>
          </w:tcPr>
          <w:p w14:paraId="0E4E0E5E"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9700" w:type="dxa"/>
            <w:gridSpan w:val="5"/>
            <w:tcBorders>
              <w:top w:val="single" w:sz="6" w:space="0" w:color="auto"/>
              <w:left w:val="single" w:sz="6" w:space="0" w:color="auto"/>
              <w:bottom w:val="single" w:sz="6" w:space="0" w:color="auto"/>
            </w:tcBorders>
          </w:tcPr>
          <w:p w14:paraId="6389F5F3"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7469BF" w:rsidRPr="004229C1" w14:paraId="5E438CE6" w14:textId="77777777" w:rsidTr="00124344">
        <w:trPr>
          <w:trHeight w:val="200"/>
        </w:trPr>
        <w:tc>
          <w:tcPr>
            <w:tcW w:w="300" w:type="dxa"/>
            <w:gridSpan w:val="2"/>
            <w:tcBorders>
              <w:top w:val="single" w:sz="6" w:space="0" w:color="auto"/>
              <w:bottom w:val="single" w:sz="6" w:space="0" w:color="auto"/>
              <w:right w:val="single" w:sz="6" w:space="0" w:color="auto"/>
            </w:tcBorders>
          </w:tcPr>
          <w:p w14:paraId="1D8584EB"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2648F627"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 Перелік ризиків щодо захисту довкілля та соціальної відповідальності, які мають вплив на особу:</w:t>
            </w:r>
          </w:p>
        </w:tc>
        <w:tc>
          <w:tcPr>
            <w:tcW w:w="5000" w:type="dxa"/>
            <w:gridSpan w:val="2"/>
            <w:tcBorders>
              <w:top w:val="single" w:sz="6" w:space="0" w:color="auto"/>
              <w:left w:val="single" w:sz="6" w:space="0" w:color="auto"/>
              <w:bottom w:val="single" w:sz="6" w:space="0" w:color="auto"/>
            </w:tcBorders>
          </w:tcPr>
          <w:p w14:paraId="2DB07FF0" w14:textId="77777777" w:rsidR="009C6F5E" w:rsidRPr="004229C1" w:rsidRDefault="009C6F5E" w:rsidP="009C6F5E">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АТ "ПРАВЕКС БАНК" стикається з низкою екологічних і соціальних викликів, які можуть впливати на його стратегію сталого розвитку. Основні ризики включають:</w:t>
            </w:r>
          </w:p>
          <w:p w14:paraId="6728E124" w14:textId="77777777" w:rsidR="009C6F5E" w:rsidRPr="004229C1" w:rsidRDefault="009C6F5E" w:rsidP="009C6F5E">
            <w:pPr>
              <w:pStyle w:val="ListParagraph"/>
              <w:numPr>
                <w:ilvl w:val="0"/>
                <w:numId w:val="23"/>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Екологічні ризики: зростаючі вимоги до екологічної відповідальності, регуляторний тиск, а також ризики, пов’язані з фінансуванням проєктів, що можуть мати негативний вплив на довкілля.</w:t>
            </w:r>
          </w:p>
          <w:p w14:paraId="265222CF" w14:textId="77777777" w:rsidR="009C6F5E" w:rsidRPr="004229C1" w:rsidRDefault="009C6F5E" w:rsidP="009C6F5E">
            <w:pPr>
              <w:pStyle w:val="ListParagraph"/>
              <w:numPr>
                <w:ilvl w:val="0"/>
                <w:numId w:val="23"/>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Соціальні ризики: необхідність дотримання принципів соціальної відповідальності, прозорість бізнесу, забезпечення рівних можливостей і підтримка місцевих громад.</w:t>
            </w:r>
          </w:p>
          <w:p w14:paraId="2A035E40" w14:textId="0F8CF570" w:rsidR="007469BF" w:rsidRPr="004229C1" w:rsidRDefault="007469BF" w:rsidP="004A3B2B">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7469BF" w:rsidRPr="004229C1" w14:paraId="57322E05" w14:textId="77777777" w:rsidTr="00124344">
        <w:trPr>
          <w:trHeight w:val="200"/>
        </w:trPr>
        <w:tc>
          <w:tcPr>
            <w:tcW w:w="300" w:type="dxa"/>
            <w:gridSpan w:val="2"/>
            <w:tcBorders>
              <w:top w:val="single" w:sz="6" w:space="0" w:color="auto"/>
              <w:bottom w:val="single" w:sz="6" w:space="0" w:color="auto"/>
              <w:right w:val="single" w:sz="6" w:space="0" w:color="auto"/>
            </w:tcBorders>
          </w:tcPr>
          <w:p w14:paraId="6081309D"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5732E7CD"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 Заходи, які планується здійснити / здійснюються для мінімізації/усунення кожного із ризиків:</w:t>
            </w:r>
          </w:p>
        </w:tc>
        <w:tc>
          <w:tcPr>
            <w:tcW w:w="5000" w:type="dxa"/>
            <w:gridSpan w:val="2"/>
            <w:tcBorders>
              <w:top w:val="single" w:sz="6" w:space="0" w:color="auto"/>
              <w:left w:val="single" w:sz="6" w:space="0" w:color="auto"/>
              <w:bottom w:val="single" w:sz="6" w:space="0" w:color="auto"/>
            </w:tcBorders>
          </w:tcPr>
          <w:p w14:paraId="3F488E50"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Для мінімізації цих ризиків банк впроваджує такі стратегії:</w:t>
            </w:r>
          </w:p>
          <w:p w14:paraId="5D885AEB"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Екологічна політика: зниження власного екологічного сліду, фінансування "зелених" ініціатив і підтримка сталого бізнесу.</w:t>
            </w:r>
          </w:p>
          <w:p w14:paraId="5314CAA1"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Соціальні ініціативи: активна взаємодія з громадами, впровадження програм корпоративної соціальної відповідальності, створення інклюзивного робочого середовища.</w:t>
            </w:r>
          </w:p>
          <w:p w14:paraId="5FAE537C"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Впровадження цих заходів сприятиме досягненню стратегічних цілей банку, зокрема підвищенню його репутації, довіри клієнтів і стійкості бізнесу в довгостроковій перспективі.</w:t>
            </w:r>
          </w:p>
          <w:p w14:paraId="3DC5A373"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Реалізуючи принципи ESG, ПРАВЕКС БАНК інтегрує Глобальний договір ООН у свою стратегію, корпоративну культуру та щоденну діяльність. Банк також активно долучається до спільних проєктів, що сприяють досягненню Цілей сталого розвитку ООН.</w:t>
            </w:r>
          </w:p>
          <w:p w14:paraId="621C3FBA"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Дотримуючись принципів ESG, ПРАВЕКС БАНК реалізує власну довгострокову стратегію сталого розвитку, яка передбачає:</w:t>
            </w:r>
          </w:p>
          <w:p w14:paraId="70C5B150"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мінімізацію впливу на довкілля та раціональне використання ресурсів,</w:t>
            </w:r>
          </w:p>
          <w:p w14:paraId="6B3035BB"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турботу про здоров’я співробітників,</w:t>
            </w:r>
          </w:p>
          <w:p w14:paraId="338A47E3"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дотримання високих етичних стандартів ведення бізнесу та антикорупційних норм,</w:t>
            </w:r>
          </w:p>
          <w:p w14:paraId="5AF49A2B" w14:textId="77777777" w:rsidR="009C6F5E"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w:t>
            </w:r>
            <w:r w:rsidRPr="004229C1">
              <w:rPr>
                <w:rFonts w:ascii="Times New Roman" w:hAnsi="Times New Roman" w:cs="Times New Roman"/>
                <w:kern w:val="0"/>
                <w:sz w:val="22"/>
                <w:szCs w:val="22"/>
                <w:lang w:val="uk-UA"/>
              </w:rPr>
              <w:tab/>
              <w:t>відкритий діалог із суспільством та командою.</w:t>
            </w:r>
          </w:p>
          <w:p w14:paraId="583A7F4A" w14:textId="74CB4121" w:rsidR="007469BF" w:rsidRPr="004229C1" w:rsidRDefault="009C6F5E" w:rsidP="009C6F5E">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ПРАВЕКС БАНК впроваджує довгострокову стратегію розвитку, яка ґрунтується на Цілях сталого розвитку ООН і відповідає принципам ESG. Його зусилля у сфері сталого розвитку спрямовані на мінімізацію екологічного впливу, ефективне використання ресурсів, забезпечення здоров’я працівників, ведення бізнесу на засадах етики та дотримання антикорупційних стандартів, а також на відкритий діалог із суспільством і співробітниками.</w:t>
            </w:r>
          </w:p>
        </w:tc>
      </w:tr>
      <w:tr w:rsidR="007469BF" w:rsidRPr="004229C1" w14:paraId="1CAD1D63" w14:textId="77777777" w:rsidTr="00124344">
        <w:trPr>
          <w:trHeight w:val="200"/>
        </w:trPr>
        <w:tc>
          <w:tcPr>
            <w:tcW w:w="300" w:type="dxa"/>
            <w:gridSpan w:val="2"/>
            <w:tcBorders>
              <w:top w:val="single" w:sz="6" w:space="0" w:color="auto"/>
              <w:bottom w:val="single" w:sz="6" w:space="0" w:color="auto"/>
              <w:right w:val="single" w:sz="6" w:space="0" w:color="auto"/>
            </w:tcBorders>
          </w:tcPr>
          <w:p w14:paraId="3B1C647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9700" w:type="dxa"/>
            <w:gridSpan w:val="5"/>
            <w:tcBorders>
              <w:top w:val="single" w:sz="6" w:space="0" w:color="auto"/>
              <w:left w:val="single" w:sz="6" w:space="0" w:color="auto"/>
              <w:bottom w:val="single" w:sz="6" w:space="0" w:color="auto"/>
            </w:tcBorders>
          </w:tcPr>
          <w:p w14:paraId="4B47CDC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положення політики з питань захисту довкілля та соціальної відповідальності:</w:t>
            </w:r>
          </w:p>
        </w:tc>
      </w:tr>
      <w:tr w:rsidR="007469BF" w:rsidRPr="004229C1" w14:paraId="06609C56" w14:textId="77777777" w:rsidTr="00124344">
        <w:trPr>
          <w:gridBefore w:val="1"/>
          <w:gridAfter w:val="1"/>
          <w:wBefore w:w="26" w:type="dxa"/>
          <w:wAfter w:w="51" w:type="dxa"/>
          <w:trHeight w:val="200"/>
        </w:trPr>
        <w:tc>
          <w:tcPr>
            <w:tcW w:w="284" w:type="dxa"/>
            <w:gridSpan w:val="2"/>
            <w:tcBorders>
              <w:top w:val="single" w:sz="6" w:space="0" w:color="auto"/>
              <w:bottom w:val="single" w:sz="6" w:space="0" w:color="auto"/>
              <w:right w:val="single" w:sz="6" w:space="0" w:color="auto"/>
            </w:tcBorders>
          </w:tcPr>
          <w:p w14:paraId="384D2240" w14:textId="77777777" w:rsidR="007469BF" w:rsidRPr="004229C1" w:rsidRDefault="007469B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677" w:type="dxa"/>
            <w:tcBorders>
              <w:top w:val="single" w:sz="6" w:space="0" w:color="auto"/>
              <w:left w:val="single" w:sz="6" w:space="0" w:color="auto"/>
              <w:bottom w:val="single" w:sz="6" w:space="0" w:color="auto"/>
              <w:right w:val="single" w:sz="6" w:space="0" w:color="auto"/>
            </w:tcBorders>
          </w:tcPr>
          <w:p w14:paraId="0227CF70"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Перелік політик з питань захисту довкілля та соціальної відповідальності та опис питань, які такі політики покликані вирішити:</w:t>
            </w:r>
          </w:p>
        </w:tc>
        <w:tc>
          <w:tcPr>
            <w:tcW w:w="4962" w:type="dxa"/>
            <w:gridSpan w:val="2"/>
            <w:tcBorders>
              <w:top w:val="single" w:sz="6" w:space="0" w:color="auto"/>
              <w:left w:val="single" w:sz="6" w:space="0" w:color="auto"/>
              <w:bottom w:val="single" w:sz="6" w:space="0" w:color="auto"/>
            </w:tcBorders>
          </w:tcPr>
          <w:p w14:paraId="52F51A62"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АТ "ПРАВЕКС БАНК" дотримується принципів сталого розвитку та інтегрує екологічні й соціальні аспекти у свою діяльність. Основні положення політики банку в цій сфері включають:</w:t>
            </w:r>
          </w:p>
          <w:p w14:paraId="20020123" w14:textId="77777777" w:rsidR="009C6F5E" w:rsidRPr="004229C1" w:rsidRDefault="009C6F5E" w:rsidP="00124344">
            <w:pPr>
              <w:pStyle w:val="ListParagraph"/>
              <w:numPr>
                <w:ilvl w:val="0"/>
                <w:numId w:val="25"/>
              </w:numPr>
              <w:autoSpaceDE w:val="0"/>
              <w:autoSpaceDN w:val="0"/>
              <w:adjustRightInd w:val="0"/>
              <w:spacing w:after="0" w:line="240" w:lineRule="auto"/>
              <w:ind w:firstLine="0"/>
              <w:jc w:val="both"/>
              <w:rPr>
                <w:rFonts w:ascii="Times New Roman" w:eastAsia="Calibri" w:hAnsi="Times New Roman" w:cs="Times New Roman"/>
                <w:b/>
                <w:sz w:val="22"/>
                <w:szCs w:val="22"/>
                <w:u w:val="single"/>
                <w:lang w:val="uk-UA"/>
              </w:rPr>
            </w:pPr>
            <w:r w:rsidRPr="004229C1">
              <w:rPr>
                <w:rFonts w:ascii="Times New Roman" w:eastAsia="Calibri" w:hAnsi="Times New Roman" w:cs="Times New Roman"/>
                <w:sz w:val="22"/>
                <w:szCs w:val="22"/>
                <w:u w:val="single"/>
                <w:lang w:val="uk-UA"/>
              </w:rPr>
              <w:t>Екологічна відповідальність</w:t>
            </w:r>
          </w:p>
          <w:p w14:paraId="07F265E6"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Зменшення негативного впливу на довкілля шляхом оптимізації використання енергоресурсів, скорочення відходів і запровадження екологічних стандартів у роботі.</w:t>
            </w:r>
          </w:p>
          <w:p w14:paraId="793BD549"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Підтримка фінансування екологічно чистих проєктів та "зелених" ініціатив.</w:t>
            </w:r>
          </w:p>
          <w:p w14:paraId="07723C39"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Дотримання екологічного законодавства та міжнародних стандартів у сфері охорони навколишнього середовища.</w:t>
            </w:r>
          </w:p>
          <w:p w14:paraId="447CFCFF" w14:textId="77777777" w:rsidR="009C6F5E" w:rsidRPr="004229C1" w:rsidRDefault="009C6F5E" w:rsidP="00124344">
            <w:pPr>
              <w:pStyle w:val="ListParagraph"/>
              <w:numPr>
                <w:ilvl w:val="0"/>
                <w:numId w:val="25"/>
              </w:numPr>
              <w:autoSpaceDE w:val="0"/>
              <w:autoSpaceDN w:val="0"/>
              <w:adjustRightInd w:val="0"/>
              <w:spacing w:after="0" w:line="240" w:lineRule="auto"/>
              <w:ind w:firstLine="0"/>
              <w:jc w:val="both"/>
              <w:rPr>
                <w:rFonts w:ascii="Times New Roman" w:eastAsia="Calibri" w:hAnsi="Times New Roman" w:cs="Times New Roman"/>
                <w:b/>
                <w:sz w:val="22"/>
                <w:szCs w:val="22"/>
                <w:u w:val="single"/>
                <w:lang w:val="uk-UA"/>
              </w:rPr>
            </w:pPr>
            <w:r w:rsidRPr="004229C1">
              <w:rPr>
                <w:rFonts w:ascii="Times New Roman" w:eastAsia="Calibri" w:hAnsi="Times New Roman" w:cs="Times New Roman"/>
                <w:sz w:val="22"/>
                <w:szCs w:val="22"/>
                <w:u w:val="single"/>
                <w:lang w:val="uk-UA"/>
              </w:rPr>
              <w:t>Соціальна відповідальність</w:t>
            </w:r>
          </w:p>
          <w:p w14:paraId="0A029583"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Дотримання принципів етики та прозорості у бізнес-процесах.</w:t>
            </w:r>
          </w:p>
          <w:p w14:paraId="202E7206"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Захист прав співробітників, створення безпечних і комфортних умов праці, забезпечення рівних можливостей.</w:t>
            </w:r>
          </w:p>
          <w:p w14:paraId="30D902D5"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Взаємодія з місцевими громадами та участь у соціально значущих ініціативах.</w:t>
            </w:r>
          </w:p>
          <w:p w14:paraId="104E7721" w14:textId="77777777" w:rsidR="009C6F5E" w:rsidRPr="004229C1" w:rsidRDefault="009C6F5E" w:rsidP="00124344">
            <w:pPr>
              <w:pStyle w:val="ListParagraph"/>
              <w:numPr>
                <w:ilvl w:val="0"/>
                <w:numId w:val="25"/>
              </w:numPr>
              <w:autoSpaceDE w:val="0"/>
              <w:autoSpaceDN w:val="0"/>
              <w:adjustRightInd w:val="0"/>
              <w:spacing w:after="0" w:line="240" w:lineRule="auto"/>
              <w:ind w:firstLine="0"/>
              <w:jc w:val="both"/>
              <w:rPr>
                <w:rFonts w:ascii="Times New Roman" w:eastAsia="Calibri" w:hAnsi="Times New Roman" w:cs="Times New Roman"/>
                <w:b/>
                <w:sz w:val="22"/>
                <w:szCs w:val="22"/>
                <w:u w:val="single"/>
                <w:lang w:val="uk-UA"/>
              </w:rPr>
            </w:pPr>
            <w:r w:rsidRPr="004229C1">
              <w:rPr>
                <w:rFonts w:ascii="Times New Roman" w:eastAsia="Calibri" w:hAnsi="Times New Roman" w:cs="Times New Roman"/>
                <w:sz w:val="22"/>
                <w:szCs w:val="22"/>
                <w:u w:val="single"/>
                <w:lang w:val="uk-UA"/>
              </w:rPr>
              <w:t>Антикорупційні стандарти та корпоративне управління</w:t>
            </w:r>
          </w:p>
          <w:p w14:paraId="2D3CE6FC"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Впровадження механізмів запобігання корупції та забезпечення відповідності міжнародним нормам ESG.</w:t>
            </w:r>
          </w:p>
          <w:p w14:paraId="14761BA7" w14:textId="77777777" w:rsidR="009C6F5E" w:rsidRPr="004229C1" w:rsidRDefault="009C6F5E" w:rsidP="00124344">
            <w:pPr>
              <w:pStyle w:val="ListParagraph"/>
              <w:numPr>
                <w:ilvl w:val="1"/>
                <w:numId w:val="25"/>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Посилення культури відкритого діалогу з суспільством і зацікавленими сторонами.</w:t>
            </w:r>
          </w:p>
          <w:p w14:paraId="120FA1CC"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Ці заходи сприяють підвищенню стійкості бізнесу, покращенню репутації банку та його відповідності міжнародним стандартам сталого розвитку.</w:t>
            </w:r>
          </w:p>
          <w:p w14:paraId="7CBED790"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Крім того, ПРАВЕКС БАНК, як учасник Глобального договору ООН, інтегрує 13 Цілей сталого розвитку у свою ESG-стратегію. Серед них – подолання бідності, якісна освіта, гендерна рівність, гідна праця та економічне зростання, розвиток інновацій та інфраструктури, відповідальне споживання, боротьба зі зміною клімату та інші важливі напрями.</w:t>
            </w:r>
          </w:p>
          <w:p w14:paraId="4060A1F4"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Оцінка соціально-екологічних ризиків є невід’ємною частиною інвестиційних та кредитних рішень Банку. ПРАВЕКС БАНК дотримується принципу, що економічна діяльність має бути прибутковою, але водночас не завдавати шкоди суспільству та довкіллю.</w:t>
            </w:r>
          </w:p>
          <w:p w14:paraId="5631E42F"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Відповідно до цього підходу:</w:t>
            </w:r>
          </w:p>
          <w:p w14:paraId="530BB10C" w14:textId="77777777" w:rsidR="009C6F5E" w:rsidRPr="004229C1" w:rsidRDefault="009C6F5E" w:rsidP="00124344">
            <w:pPr>
              <w:pStyle w:val="ListParagraph"/>
              <w:numPr>
                <w:ilvl w:val="0"/>
                <w:numId w:val="24"/>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Банк не фінансує проєкти, що порушують фундаментальні права людини, негативно впливають на здоров’я населення або екологію.</w:t>
            </w:r>
          </w:p>
          <w:p w14:paraId="0293E843" w14:textId="77777777" w:rsidR="009C6F5E" w:rsidRPr="004229C1" w:rsidRDefault="009C6F5E" w:rsidP="00124344">
            <w:pPr>
              <w:pStyle w:val="ListParagraph"/>
              <w:numPr>
                <w:ilvl w:val="0"/>
                <w:numId w:val="24"/>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Підтримує мирне співіснування, відмовляючись від фінансування діяльності, яка може становити загрозу суспільству.</w:t>
            </w:r>
          </w:p>
          <w:p w14:paraId="7F421014" w14:textId="77777777" w:rsidR="009C6F5E" w:rsidRPr="004229C1" w:rsidRDefault="009C6F5E" w:rsidP="00124344">
            <w:pPr>
              <w:pStyle w:val="ListParagraph"/>
              <w:numPr>
                <w:ilvl w:val="0"/>
                <w:numId w:val="24"/>
              </w:numPr>
              <w:autoSpaceDE w:val="0"/>
              <w:autoSpaceDN w:val="0"/>
              <w:adjustRightInd w:val="0"/>
              <w:spacing w:after="0" w:line="240" w:lineRule="auto"/>
              <w:ind w:firstLine="0"/>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Надає перевагу проєктам із високою соціальною та екологічною значущістю.</w:t>
            </w:r>
          </w:p>
          <w:p w14:paraId="246FC2E2" w14:textId="77777777" w:rsidR="009C6F5E" w:rsidRPr="004229C1" w:rsidRDefault="009C6F5E" w:rsidP="00124344">
            <w:pPr>
              <w:autoSpaceDE w:val="0"/>
              <w:autoSpaceDN w:val="0"/>
              <w:adjustRightInd w:val="0"/>
              <w:spacing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ПРАВЕКС БАНК активно впроваджує принципи ESG (</w:t>
            </w:r>
            <w:proofErr w:type="spellStart"/>
            <w:r w:rsidRPr="004229C1">
              <w:rPr>
                <w:rFonts w:ascii="Times New Roman" w:eastAsia="Calibri" w:hAnsi="Times New Roman" w:cs="Times New Roman"/>
                <w:sz w:val="22"/>
                <w:szCs w:val="22"/>
                <w:lang w:val="uk-UA"/>
              </w:rPr>
              <w:t>Environmental</w:t>
            </w:r>
            <w:proofErr w:type="spellEnd"/>
            <w:r w:rsidRPr="004229C1">
              <w:rPr>
                <w:rFonts w:ascii="Times New Roman" w:eastAsia="Calibri" w:hAnsi="Times New Roman" w:cs="Times New Roman"/>
                <w:sz w:val="22"/>
                <w:szCs w:val="22"/>
                <w:lang w:val="uk-UA"/>
              </w:rPr>
              <w:t xml:space="preserve">, </w:t>
            </w:r>
            <w:proofErr w:type="spellStart"/>
            <w:r w:rsidRPr="004229C1">
              <w:rPr>
                <w:rFonts w:ascii="Times New Roman" w:eastAsia="Calibri" w:hAnsi="Times New Roman" w:cs="Times New Roman"/>
                <w:sz w:val="22"/>
                <w:szCs w:val="22"/>
                <w:lang w:val="uk-UA"/>
              </w:rPr>
              <w:t>Social</w:t>
            </w:r>
            <w:proofErr w:type="spellEnd"/>
            <w:r w:rsidRPr="004229C1">
              <w:rPr>
                <w:rFonts w:ascii="Times New Roman" w:eastAsia="Calibri" w:hAnsi="Times New Roman" w:cs="Times New Roman"/>
                <w:sz w:val="22"/>
                <w:szCs w:val="22"/>
                <w:lang w:val="uk-UA"/>
              </w:rPr>
              <w:t>, and Governance), спрямовані на збереження екологічного балансу та відповідальне використання природних ресурсів. Запроваджена ефективна система екологічного менеджменту базується на принципах «зеленої економіки», що сприяє сталому розвитку у всіх сферах діяльності Банку.</w:t>
            </w:r>
          </w:p>
          <w:p w14:paraId="7DD242FB" w14:textId="6F23FEDB" w:rsidR="007469BF" w:rsidRPr="004229C1" w:rsidRDefault="007469BF" w:rsidP="00124344">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7469BF" w:rsidRPr="004229C1" w14:paraId="1EE19FCF" w14:textId="77777777" w:rsidTr="00124344">
        <w:trPr>
          <w:trHeight w:val="200"/>
        </w:trPr>
        <w:tc>
          <w:tcPr>
            <w:tcW w:w="300" w:type="dxa"/>
            <w:gridSpan w:val="2"/>
            <w:tcBorders>
              <w:top w:val="single" w:sz="6" w:space="0" w:color="auto"/>
              <w:bottom w:val="single" w:sz="6" w:space="0" w:color="auto"/>
              <w:right w:val="single" w:sz="6" w:space="0" w:color="auto"/>
            </w:tcBorders>
          </w:tcPr>
          <w:p w14:paraId="435A3A2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9700" w:type="dxa"/>
            <w:gridSpan w:val="5"/>
            <w:tcBorders>
              <w:top w:val="single" w:sz="6" w:space="0" w:color="auto"/>
              <w:left w:val="single" w:sz="6" w:space="0" w:color="auto"/>
              <w:bottom w:val="single" w:sz="6" w:space="0" w:color="auto"/>
            </w:tcBorders>
          </w:tcPr>
          <w:p w14:paraId="7776AD41" w14:textId="77777777" w:rsidR="007469BF" w:rsidRPr="004229C1" w:rsidRDefault="000B08A7">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8D4C2F" w:rsidRPr="004229C1" w14:paraId="28972482" w14:textId="77777777" w:rsidTr="00124344">
        <w:trPr>
          <w:trHeight w:val="200"/>
        </w:trPr>
        <w:tc>
          <w:tcPr>
            <w:tcW w:w="300" w:type="dxa"/>
            <w:gridSpan w:val="2"/>
            <w:tcBorders>
              <w:top w:val="single" w:sz="6" w:space="0" w:color="auto"/>
              <w:bottom w:val="single" w:sz="6" w:space="0" w:color="auto"/>
              <w:right w:val="single" w:sz="6" w:space="0" w:color="auto"/>
            </w:tcBorders>
          </w:tcPr>
          <w:p w14:paraId="50BC9227"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6D3FC6B8" w14:textId="040588A4"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r w:rsidR="008D4C2F" w:rsidRPr="004229C1">
              <w:rPr>
                <w:rFonts w:ascii="Times New Roman" w:hAnsi="Times New Roman" w:cs="Times New Roman"/>
                <w:kern w:val="0"/>
                <w:sz w:val="22"/>
                <w:szCs w:val="22"/>
                <w:lang w:val="uk-UA"/>
              </w:rPr>
              <w:t>. Перелік питань, які розглядались радою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1B8363E5"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Наглядової Ради від 19 лютого 2024 року, Протокол №4_24, питання 16 порядку денного -</w:t>
            </w:r>
            <w:r w:rsidRPr="004229C1">
              <w:rPr>
                <w:rFonts w:ascii="Times New Roman" w:hAnsi="Times New Roman" w:cs="Times New Roman"/>
                <w:sz w:val="22"/>
                <w:szCs w:val="22"/>
                <w:lang w:val="uk-UA"/>
              </w:rPr>
              <w:t xml:space="preserve"> </w:t>
            </w:r>
            <w:r w:rsidRPr="004229C1">
              <w:rPr>
                <w:rFonts w:ascii="Times New Roman" w:eastAsia="Times New Roman" w:hAnsi="Times New Roman" w:cs="Times New Roman"/>
                <w:sz w:val="22"/>
                <w:szCs w:val="22"/>
                <w:lang w:val="uk-UA"/>
              </w:rPr>
              <w:t>Затвердження оновленої версії документу «Політика АТ «ПРАВЕКС БАНК» щодо запобігання та протидії корупції» (2024)</w:t>
            </w:r>
          </w:p>
          <w:p w14:paraId="1A9BFB5F"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Оновлення Політики запобігання корупції АТ "ПРАВЕКС БАНК" було здійснено з метою приведення її у відповідність до вимог Групи Intesa Sanpaolo та міжнародних стандартів. Основні зміни стосуються посилення контролю за корупційними ризиками, інтеграції міжнародних норм і вдосконалення механізмів запобігання корупційним проявам.</w:t>
            </w:r>
          </w:p>
          <w:p w14:paraId="6D07214F"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Ключові оновлення Політики</w:t>
            </w:r>
          </w:p>
          <w:p w14:paraId="4595BD93" w14:textId="77777777" w:rsidR="008D4C2F" w:rsidRPr="004229C1" w:rsidRDefault="008D4C2F" w:rsidP="008D4C2F">
            <w:pPr>
              <w:pStyle w:val="ListParagraph"/>
              <w:widowControl w:val="0"/>
              <w:numPr>
                <w:ilvl w:val="0"/>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Розширення нормативно-правової бази</w:t>
            </w:r>
          </w:p>
          <w:p w14:paraId="1C967D35" w14:textId="77777777" w:rsidR="008D4C2F" w:rsidRPr="004229C1" w:rsidRDefault="008D4C2F" w:rsidP="008D4C2F">
            <w:pPr>
              <w:pStyle w:val="ListParagraph"/>
              <w:widowControl w:val="0"/>
              <w:numPr>
                <w:ilvl w:val="1"/>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До Політики включено додаткові міжнародні документи у сфері запобігання корупції, що відображає зобов’язання Банку відповідати глобальним стандартам комплаєнсу.</w:t>
            </w:r>
          </w:p>
          <w:p w14:paraId="544E14B2" w14:textId="77777777" w:rsidR="008D4C2F" w:rsidRPr="004229C1" w:rsidRDefault="008D4C2F" w:rsidP="008D4C2F">
            <w:pPr>
              <w:pStyle w:val="ListParagraph"/>
              <w:widowControl w:val="0"/>
              <w:numPr>
                <w:ilvl w:val="0"/>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Впровадження міжнародного стандарту ISO 37001:2016</w:t>
            </w:r>
          </w:p>
          <w:p w14:paraId="527CE494" w14:textId="77777777" w:rsidR="008D4C2F" w:rsidRPr="004229C1" w:rsidRDefault="008D4C2F" w:rsidP="008D4C2F">
            <w:pPr>
              <w:pStyle w:val="ListParagraph"/>
              <w:widowControl w:val="0"/>
              <w:numPr>
                <w:ilvl w:val="1"/>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ISO 37001:2016 (Системи управління боротьбою з корупцією) інтегровано у процеси управління корупційними ризиками.</w:t>
            </w:r>
          </w:p>
          <w:p w14:paraId="1C59DB88" w14:textId="77777777" w:rsidR="008D4C2F" w:rsidRPr="004229C1" w:rsidRDefault="008D4C2F" w:rsidP="008D4C2F">
            <w:pPr>
              <w:pStyle w:val="ListParagraph"/>
              <w:widowControl w:val="0"/>
              <w:numPr>
                <w:ilvl w:val="1"/>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 xml:space="preserve">Визначено зони найбільшого ризику, а також удосконалено </w:t>
            </w:r>
            <w:proofErr w:type="spellStart"/>
            <w:r w:rsidRPr="004229C1">
              <w:rPr>
                <w:rFonts w:ascii="Times New Roman" w:eastAsia="Times New Roman" w:hAnsi="Times New Roman" w:cs="Times New Roman"/>
                <w:bCs/>
                <w:sz w:val="22"/>
                <w:szCs w:val="22"/>
                <w:lang w:val="uk-UA"/>
              </w:rPr>
              <w:t>макропроцеси</w:t>
            </w:r>
            <w:proofErr w:type="spellEnd"/>
            <w:r w:rsidRPr="004229C1">
              <w:rPr>
                <w:rFonts w:ascii="Times New Roman" w:eastAsia="Times New Roman" w:hAnsi="Times New Roman" w:cs="Times New Roman"/>
                <w:bCs/>
                <w:sz w:val="22"/>
                <w:szCs w:val="22"/>
                <w:lang w:val="uk-UA"/>
              </w:rPr>
              <w:t>, пов’язані з виявленням та мінімізацією корупційних загроз у Банку.</w:t>
            </w:r>
          </w:p>
          <w:p w14:paraId="3E47BB1C" w14:textId="77777777" w:rsidR="008D4C2F" w:rsidRPr="004229C1" w:rsidRDefault="008D4C2F" w:rsidP="008D4C2F">
            <w:pPr>
              <w:pStyle w:val="ListParagraph"/>
              <w:widowControl w:val="0"/>
              <w:numPr>
                <w:ilvl w:val="0"/>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Регулювання взаємодії з бізнес-посередниками («Бізнес-</w:t>
            </w:r>
            <w:proofErr w:type="spellStart"/>
            <w:r w:rsidRPr="004229C1">
              <w:rPr>
                <w:rFonts w:ascii="Times New Roman" w:eastAsia="Times New Roman" w:hAnsi="Times New Roman" w:cs="Times New Roman"/>
                <w:bCs/>
                <w:sz w:val="22"/>
                <w:szCs w:val="22"/>
                <w:lang w:val="uk-UA"/>
              </w:rPr>
              <w:t>інтродьюсерами</w:t>
            </w:r>
            <w:proofErr w:type="spellEnd"/>
            <w:r w:rsidRPr="004229C1">
              <w:rPr>
                <w:rFonts w:ascii="Times New Roman" w:eastAsia="Times New Roman" w:hAnsi="Times New Roman" w:cs="Times New Roman"/>
                <w:bCs/>
                <w:sz w:val="22"/>
                <w:szCs w:val="22"/>
                <w:lang w:val="uk-UA"/>
              </w:rPr>
              <w:t>»)</w:t>
            </w:r>
          </w:p>
          <w:p w14:paraId="60E1FEAE" w14:textId="77777777" w:rsidR="008D4C2F" w:rsidRPr="004229C1" w:rsidRDefault="008D4C2F" w:rsidP="008D4C2F">
            <w:pPr>
              <w:pStyle w:val="ListParagraph"/>
              <w:widowControl w:val="0"/>
              <w:numPr>
                <w:ilvl w:val="1"/>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Політика передбачає можливість залучення третіх осіб, які допомагають Групі Intesa Sanpaolo у встановленні зв’язків із потенційними або чинними клієнтами та сприяють розвитку її діяльності.</w:t>
            </w:r>
          </w:p>
          <w:p w14:paraId="58F44D6C" w14:textId="77777777" w:rsidR="008D4C2F" w:rsidRPr="004229C1" w:rsidRDefault="008D4C2F" w:rsidP="008D4C2F">
            <w:pPr>
              <w:pStyle w:val="ListParagraph"/>
              <w:widowControl w:val="0"/>
              <w:numPr>
                <w:ilvl w:val="1"/>
                <w:numId w:val="26"/>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Встановлено чіткі вимоги до бізнес-</w:t>
            </w:r>
            <w:proofErr w:type="spellStart"/>
            <w:r w:rsidRPr="004229C1">
              <w:rPr>
                <w:rFonts w:ascii="Times New Roman" w:eastAsia="Times New Roman" w:hAnsi="Times New Roman" w:cs="Times New Roman"/>
                <w:bCs/>
                <w:sz w:val="22"/>
                <w:szCs w:val="22"/>
                <w:lang w:val="uk-UA"/>
              </w:rPr>
              <w:t>інтродьюсерів</w:t>
            </w:r>
            <w:proofErr w:type="spellEnd"/>
            <w:r w:rsidRPr="004229C1">
              <w:rPr>
                <w:rFonts w:ascii="Times New Roman" w:eastAsia="Times New Roman" w:hAnsi="Times New Roman" w:cs="Times New Roman"/>
                <w:bCs/>
                <w:sz w:val="22"/>
                <w:szCs w:val="22"/>
                <w:lang w:val="uk-UA"/>
              </w:rPr>
              <w:t>, зокрема щодо їхньої перевірки на відповідність етичним стандартам і принципам запобігання корупції.</w:t>
            </w:r>
          </w:p>
          <w:p w14:paraId="137FCAE3" w14:textId="2F4B1DE0" w:rsidR="008D4C2F" w:rsidRPr="004229C1" w:rsidRDefault="008D4C2F" w:rsidP="008D4C2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Оновлення Політики сприяє підвищенню ефективності антикорупційного контролю, посиленню відповідності міжнародним стандартам та зниженню ризиків для репутації Банку.</w:t>
            </w:r>
          </w:p>
        </w:tc>
      </w:tr>
      <w:tr w:rsidR="008D4C2F" w:rsidRPr="004229C1" w14:paraId="3878EB55" w14:textId="77777777" w:rsidTr="00124344">
        <w:trPr>
          <w:trHeight w:val="200"/>
        </w:trPr>
        <w:tc>
          <w:tcPr>
            <w:tcW w:w="300" w:type="dxa"/>
            <w:gridSpan w:val="2"/>
            <w:tcBorders>
              <w:top w:val="single" w:sz="6" w:space="0" w:color="auto"/>
              <w:bottom w:val="single" w:sz="6" w:space="0" w:color="auto"/>
              <w:right w:val="single" w:sz="6" w:space="0" w:color="auto"/>
            </w:tcBorders>
          </w:tcPr>
          <w:p w14:paraId="496051FD"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0F362AAF" w14:textId="387B7FE2"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r w:rsidR="008D4C2F" w:rsidRPr="004229C1">
              <w:rPr>
                <w:rFonts w:ascii="Times New Roman" w:hAnsi="Times New Roman" w:cs="Times New Roman"/>
                <w:kern w:val="0"/>
                <w:sz w:val="22"/>
                <w:szCs w:val="22"/>
                <w:lang w:val="uk-UA"/>
              </w:rPr>
              <w:t>. Перелік питань, які розглядались радою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1379AA3B"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Наглядової Ради від 24 квітня 2024 року, Протокол №11_24, питання 14 порядку денного - Затвердження оновленої версії внутрішнього документу «Кодекс етики»</w:t>
            </w:r>
          </w:p>
          <w:p w14:paraId="3D845933"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Кодекс етики АТ "ПРАВЕКС БАНК" було оновлено на основі корпоративних принципів Групи Intesa Sanpaolo, з особливим акцентом на сталий розвиток, що є одним із чотирьох ключових напрямів бізнес-плану на 2022-2025 роки.</w:t>
            </w:r>
          </w:p>
          <w:p w14:paraId="195EC31C"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 xml:space="preserve">Оновлена редакція Кодексу зміцнює основні цінності та етичні принципи Банку, розширюючи концепцію рівності шляхом інтеграції принципу </w:t>
            </w:r>
            <w:proofErr w:type="spellStart"/>
            <w:r w:rsidRPr="004229C1">
              <w:rPr>
                <w:rFonts w:ascii="Times New Roman" w:eastAsia="Times New Roman" w:hAnsi="Times New Roman" w:cs="Times New Roman"/>
                <w:bCs/>
                <w:sz w:val="22"/>
                <w:szCs w:val="22"/>
                <w:lang w:val="uk-UA"/>
              </w:rPr>
              <w:t>інклюзивності</w:t>
            </w:r>
            <w:proofErr w:type="spellEnd"/>
            <w:r w:rsidRPr="004229C1">
              <w:rPr>
                <w:rFonts w:ascii="Times New Roman" w:eastAsia="Times New Roman" w:hAnsi="Times New Roman" w:cs="Times New Roman"/>
                <w:bCs/>
                <w:sz w:val="22"/>
                <w:szCs w:val="22"/>
                <w:lang w:val="uk-UA"/>
              </w:rPr>
              <w:t>. Крім того, особливу увагу приділено питанням екологічної відповідальності, включаючи боротьбу зі зміною клімату, захист природи та біорізноманіття, а також підтримку переходу до зеленої та циркулярної економіки.</w:t>
            </w:r>
          </w:p>
          <w:p w14:paraId="636FCAE2"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Основні розділи оновленого Кодексу етики</w:t>
            </w:r>
          </w:p>
          <w:p w14:paraId="52C72567" w14:textId="77777777" w:rsidR="008D4C2F" w:rsidRPr="004229C1" w:rsidRDefault="008D4C2F" w:rsidP="008D4C2F">
            <w:pPr>
              <w:pStyle w:val="ListParagraph"/>
              <w:widowControl w:val="0"/>
              <w:numPr>
                <w:ilvl w:val="0"/>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Хартія відносин</w:t>
            </w:r>
          </w:p>
          <w:p w14:paraId="3CF2D070"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Визначає місію, принципи та цінності, якими керується Група Intesa Sanpaolo.</w:t>
            </w:r>
          </w:p>
          <w:p w14:paraId="4A33215E"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Встановлює зобов’язання та відповідальність Банку перед суспільством, клієнтами, працівниками та партнерами.</w:t>
            </w:r>
          </w:p>
          <w:p w14:paraId="2693F455" w14:textId="77777777" w:rsidR="008D4C2F" w:rsidRPr="004229C1" w:rsidRDefault="008D4C2F" w:rsidP="008D4C2F">
            <w:pPr>
              <w:pStyle w:val="ListParagraph"/>
              <w:widowControl w:val="0"/>
              <w:numPr>
                <w:ilvl w:val="0"/>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Принципи поведінки у відносинах із зацікавленими сторонами</w:t>
            </w:r>
          </w:p>
          <w:p w14:paraId="15112AE9"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Регламентують стандарти етичної поведінки у взаємодії з клієнтами, партнерами, інвесторами, співробітниками та громадськістю.</w:t>
            </w:r>
          </w:p>
          <w:p w14:paraId="4EA7F1CE"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Включають заходи щодо забезпечення прозорості, відповідальності та етичного ведення бізнесу.</w:t>
            </w:r>
          </w:p>
          <w:p w14:paraId="1BF4386A" w14:textId="77777777" w:rsidR="008D4C2F" w:rsidRPr="004229C1" w:rsidRDefault="008D4C2F" w:rsidP="008D4C2F">
            <w:pPr>
              <w:pStyle w:val="ListParagraph"/>
              <w:widowControl w:val="0"/>
              <w:numPr>
                <w:ilvl w:val="0"/>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Механізми впровадження та управління</w:t>
            </w:r>
          </w:p>
          <w:p w14:paraId="0325066A"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Визначають процедури реалізації та контролю за дотриманням Кодексу етики.</w:t>
            </w:r>
          </w:p>
          <w:p w14:paraId="3E73C40F" w14:textId="77777777" w:rsidR="008D4C2F" w:rsidRPr="004229C1" w:rsidRDefault="008D4C2F" w:rsidP="008D4C2F">
            <w:pPr>
              <w:pStyle w:val="ListParagraph"/>
              <w:widowControl w:val="0"/>
              <w:numPr>
                <w:ilvl w:val="1"/>
                <w:numId w:val="27"/>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Містять інструменти моніторингу, механізми внутрішнього контролю та систему відповідальності за порушення його положень.</w:t>
            </w:r>
          </w:p>
          <w:p w14:paraId="384B368F" w14:textId="7A354C17" w:rsidR="008D4C2F" w:rsidRPr="004229C1" w:rsidRDefault="008D4C2F" w:rsidP="008D4C2F">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eastAsia="Times New Roman" w:hAnsi="Times New Roman" w:cs="Times New Roman"/>
                <w:bCs/>
                <w:sz w:val="22"/>
                <w:szCs w:val="22"/>
                <w:lang w:val="uk-UA"/>
              </w:rPr>
              <w:t>Оновлення Кодексу етики підтверджує відданість Банку принципам стійкого розвитку, корпоративної соціальної відповідальності та етичного ведення бізнесу, сприяючи подальшому зміцненню довіри з боку клієнтів, партнерів та громадськості.</w:t>
            </w:r>
          </w:p>
        </w:tc>
      </w:tr>
      <w:tr w:rsidR="008D4C2F" w:rsidRPr="004229C1" w14:paraId="642F13F0" w14:textId="77777777" w:rsidTr="00124344">
        <w:trPr>
          <w:trHeight w:val="200"/>
        </w:trPr>
        <w:tc>
          <w:tcPr>
            <w:tcW w:w="300" w:type="dxa"/>
            <w:gridSpan w:val="2"/>
            <w:tcBorders>
              <w:top w:val="single" w:sz="6" w:space="0" w:color="auto"/>
              <w:bottom w:val="single" w:sz="6" w:space="0" w:color="auto"/>
              <w:right w:val="single" w:sz="6" w:space="0" w:color="auto"/>
            </w:tcBorders>
          </w:tcPr>
          <w:p w14:paraId="016462CD"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032EF7B7" w14:textId="320CF5B7"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r w:rsidR="008D4C2F" w:rsidRPr="004229C1">
              <w:rPr>
                <w:rFonts w:ascii="Times New Roman" w:hAnsi="Times New Roman" w:cs="Times New Roman"/>
                <w:kern w:val="0"/>
                <w:sz w:val="22"/>
                <w:szCs w:val="22"/>
                <w:lang w:val="uk-UA"/>
              </w:rPr>
              <w:t>. Перелік питань, які розглядались радою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2BEFF912"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Наглядової Ради від 20 червня 2024 року, Протокол №14_24, питання 9 порядку денного - Затвердження нового внутрішнього документу «Керівні принципи з управління екологічними, соціальними та управлінськими ризиками (ESG ризики) АТ «ПРАВЕКС БАНК»»</w:t>
            </w:r>
          </w:p>
          <w:p w14:paraId="3032E38F"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 xml:space="preserve">Керівні принципи, як частина ширшої структури правил щодо системи внутрішнього контролю та управління ризиками, що регулюється поточною версією «Положення про комплексну систему внутрішнього контролю АТ «ПРАВЕКС БАНК»», і його метою є надання Керівних принципів для управління екологічними, соціальними та управлінськими ризиками, відомими як ризики «ESG», на які наражається Банк, встановлюючи базові принципи, визначаючи ролі та відповідальність корпоративних органів і основні корпоративні функції на рівні Банку та Материнської компанії, що залучені будь-якою мірою до нагляду за такими ризиками, описуючи </w:t>
            </w:r>
            <w:proofErr w:type="spellStart"/>
            <w:r w:rsidRPr="004229C1">
              <w:rPr>
                <w:rFonts w:ascii="Times New Roman" w:eastAsia="Times New Roman" w:hAnsi="Times New Roman" w:cs="Times New Roman"/>
                <w:bCs/>
                <w:sz w:val="22"/>
                <w:szCs w:val="22"/>
                <w:lang w:val="uk-UA"/>
              </w:rPr>
              <w:t>макропроцес</w:t>
            </w:r>
            <w:proofErr w:type="spellEnd"/>
            <w:r w:rsidRPr="004229C1">
              <w:rPr>
                <w:rFonts w:ascii="Times New Roman" w:eastAsia="Times New Roman" w:hAnsi="Times New Roman" w:cs="Times New Roman"/>
                <w:bCs/>
                <w:sz w:val="22"/>
                <w:szCs w:val="22"/>
                <w:lang w:val="uk-UA"/>
              </w:rPr>
              <w:t xml:space="preserve"> для управління такими ризиками та надаючи підтримку дочірнім компаніям.</w:t>
            </w:r>
          </w:p>
          <w:p w14:paraId="2B50AB62"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Керівні принципи відповідають підходу сталого економічного розвитку, відповідно до принципів, викладених у чинній редакції Кодексу етики АТ «ПРАВЕКС БАНК» та відповідно до Національного банку України (далі – НБУ) «Політиці щодо розвитку сталого фінансування на період до 2025 року».</w:t>
            </w:r>
          </w:p>
          <w:p w14:paraId="50CB9E8D"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З цього приводу в цьому документі зазначено:</w:t>
            </w:r>
          </w:p>
          <w:p w14:paraId="2E8E59CC" w14:textId="77777777" w:rsidR="008D4C2F" w:rsidRPr="004229C1" w:rsidRDefault="008D4C2F" w:rsidP="008D4C2F">
            <w:pPr>
              <w:pStyle w:val="ListParagraph"/>
              <w:widowControl w:val="0"/>
              <w:numPr>
                <w:ilvl w:val="0"/>
                <w:numId w:val="28"/>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загальні принципи, що лежать в основі процесу контролю та управління ризиками ESG;</w:t>
            </w:r>
          </w:p>
          <w:p w14:paraId="2617A108" w14:textId="77777777" w:rsidR="008D4C2F" w:rsidRPr="004229C1" w:rsidRDefault="008D4C2F" w:rsidP="008D4C2F">
            <w:pPr>
              <w:pStyle w:val="ListParagraph"/>
              <w:widowControl w:val="0"/>
              <w:numPr>
                <w:ilvl w:val="0"/>
                <w:numId w:val="28"/>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завдання та обов'язки учасників;</w:t>
            </w:r>
          </w:p>
          <w:p w14:paraId="7389730A" w14:textId="77777777" w:rsidR="008D4C2F" w:rsidRPr="004229C1" w:rsidRDefault="008D4C2F" w:rsidP="008D4C2F">
            <w:pPr>
              <w:pStyle w:val="ListParagraph"/>
              <w:widowControl w:val="0"/>
              <w:numPr>
                <w:ilvl w:val="0"/>
                <w:numId w:val="28"/>
              </w:numPr>
              <w:autoSpaceDE w:val="0"/>
              <w:autoSpaceDN w:val="0"/>
              <w:spacing w:after="0" w:line="240" w:lineRule="auto"/>
              <w:ind w:left="0"/>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модель управління ризиками ESG, включаючи інтеграцію факторів ризику ESG у різні групи ризиків і кредитний процес;</w:t>
            </w:r>
          </w:p>
          <w:p w14:paraId="7B0F3D3E" w14:textId="77777777" w:rsidR="008D4C2F" w:rsidRPr="004229C1" w:rsidRDefault="008D4C2F" w:rsidP="008D4C2F">
            <w:pPr>
              <w:pStyle w:val="ListParagraph"/>
              <w:widowControl w:val="0"/>
              <w:numPr>
                <w:ilvl w:val="0"/>
                <w:numId w:val="28"/>
              </w:numPr>
              <w:autoSpaceDE w:val="0"/>
              <w:autoSpaceDN w:val="0"/>
              <w:spacing w:after="0" w:line="240" w:lineRule="auto"/>
              <w:ind w:left="0"/>
              <w:jc w:val="both"/>
              <w:rPr>
                <w:rFonts w:ascii="Times New Roman" w:eastAsia="Times New Roman" w:hAnsi="Times New Roman" w:cs="Times New Roman"/>
                <w:b/>
                <w:bCs/>
                <w:sz w:val="22"/>
                <w:szCs w:val="22"/>
                <w:lang w:val="uk-UA"/>
              </w:rPr>
            </w:pPr>
            <w:proofErr w:type="spellStart"/>
            <w:r w:rsidRPr="004229C1">
              <w:rPr>
                <w:rFonts w:ascii="Times New Roman" w:eastAsia="Times New Roman" w:hAnsi="Times New Roman" w:cs="Times New Roman"/>
                <w:bCs/>
                <w:sz w:val="22"/>
                <w:szCs w:val="22"/>
                <w:lang w:val="uk-UA"/>
              </w:rPr>
              <w:t>макропроцеси</w:t>
            </w:r>
            <w:proofErr w:type="spellEnd"/>
            <w:r w:rsidRPr="004229C1">
              <w:rPr>
                <w:rFonts w:ascii="Times New Roman" w:eastAsia="Times New Roman" w:hAnsi="Times New Roman" w:cs="Times New Roman"/>
                <w:bCs/>
                <w:sz w:val="22"/>
                <w:szCs w:val="22"/>
                <w:lang w:val="uk-UA"/>
              </w:rPr>
              <w:t xml:space="preserve"> управління ризиками ESG.</w:t>
            </w:r>
          </w:p>
          <w:p w14:paraId="12AD620C"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Загалом цей набір правил спрямований на сприяння культурі ризику, зосередженій на заохоченні стійкої поведінки та інтеграції екологічних, соціальних та управлінських аспектів у процеси управління ризиками, усвідомлюючи, що вони сприяють стійкості ініціатив Банку, надійності та стабільному створенню вартості з часом на користь усіх внутрішніх і зовнішніх зацікавлених сторін.</w:t>
            </w:r>
          </w:p>
          <w:p w14:paraId="3BE1E586" w14:textId="209716D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Згідно з поточними розробками в управлінні ESG ризиками, регуляторні вказівки в цьому документі зосереджені насамперед на системі кредитування та пов’язаних процесах.</w:t>
            </w:r>
          </w:p>
        </w:tc>
      </w:tr>
      <w:tr w:rsidR="008D4C2F" w:rsidRPr="004229C1" w14:paraId="4FFB9118" w14:textId="77777777" w:rsidTr="00124344">
        <w:trPr>
          <w:trHeight w:val="200"/>
        </w:trPr>
        <w:tc>
          <w:tcPr>
            <w:tcW w:w="300" w:type="dxa"/>
            <w:gridSpan w:val="2"/>
            <w:tcBorders>
              <w:top w:val="single" w:sz="6" w:space="0" w:color="auto"/>
              <w:bottom w:val="single" w:sz="6" w:space="0" w:color="auto"/>
              <w:right w:val="single" w:sz="6" w:space="0" w:color="auto"/>
            </w:tcBorders>
          </w:tcPr>
          <w:p w14:paraId="58B14C5D"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24CB6746" w14:textId="17E48C3A"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r w:rsidR="008D4C2F" w:rsidRPr="004229C1">
              <w:rPr>
                <w:rFonts w:ascii="Times New Roman" w:hAnsi="Times New Roman" w:cs="Times New Roman"/>
                <w:kern w:val="0"/>
                <w:sz w:val="22"/>
                <w:szCs w:val="22"/>
                <w:lang w:val="uk-UA"/>
              </w:rPr>
              <w:t>. Перелік питань, які розглядались радою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5F53FD96"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Наглядової Ради від 30 вересня 2024 року, Протокол №19_24, питання 6 порядку денного –</w:t>
            </w:r>
            <w:r w:rsidRPr="004229C1">
              <w:rPr>
                <w:rFonts w:ascii="Times New Roman" w:hAnsi="Times New Roman" w:cs="Times New Roman"/>
                <w:sz w:val="22"/>
                <w:szCs w:val="22"/>
                <w:lang w:val="uk-UA"/>
              </w:rPr>
              <w:t xml:space="preserve"> </w:t>
            </w:r>
            <w:r w:rsidRPr="004229C1">
              <w:rPr>
                <w:rFonts w:ascii="Times New Roman" w:eastAsia="Times New Roman" w:hAnsi="Times New Roman" w:cs="Times New Roman"/>
                <w:sz w:val="22"/>
                <w:szCs w:val="22"/>
                <w:lang w:val="uk-UA"/>
              </w:rPr>
              <w:t>Затвердження результатів аналізу гендерного розриву в оплаті праці за 2023 рік.</w:t>
            </w:r>
          </w:p>
          <w:p w14:paraId="2A45B9F4" w14:textId="34344846"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АТ "ПРАВЕКС БАНК" та Група Інтеза Санпаоло дотримуються принципів гендерної рівності та нейтральності у питаннях політики винагороди, забезпечуючи справедливий підхід до оплати праці незалежно від статі. Банк регулярно аналізує гендерний розрив в оплаті праці, використовуючи нову методологію, що дозволяє точніше оцінювати відмінності та визначати сфери для покращення. За результатами аналізу на 31 грудня 2023 року, у членів Наглядової ради та Правління розрив становить 0%, тоді як у інших категоріях персоналу спостерігається незначна динаміка через кадрову плинність. Вживаються заходи для моніторингу ситуації та вирівнювання рівня винагороди відповідно до професійних компетенцій і стажу. Банк підтверджує свою прихильність до принципів справедливості, прозорості та соціальної відповідальності, що відповідає міжнародним стандартам.</w:t>
            </w:r>
          </w:p>
        </w:tc>
      </w:tr>
      <w:tr w:rsidR="008D4C2F" w:rsidRPr="004229C1" w14:paraId="25EED255" w14:textId="77777777" w:rsidTr="00124344">
        <w:trPr>
          <w:trHeight w:val="200"/>
        </w:trPr>
        <w:tc>
          <w:tcPr>
            <w:tcW w:w="300" w:type="dxa"/>
            <w:gridSpan w:val="2"/>
            <w:tcBorders>
              <w:top w:val="single" w:sz="6" w:space="0" w:color="auto"/>
              <w:bottom w:val="single" w:sz="6" w:space="0" w:color="auto"/>
              <w:right w:val="single" w:sz="6" w:space="0" w:color="auto"/>
            </w:tcBorders>
          </w:tcPr>
          <w:p w14:paraId="662A83C5"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080DFC07" w14:textId="129834FF"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008D4C2F" w:rsidRPr="004229C1">
              <w:rPr>
                <w:rFonts w:ascii="Times New Roman" w:hAnsi="Times New Roman" w:cs="Times New Roman"/>
                <w:kern w:val="0"/>
                <w:sz w:val="22"/>
                <w:szCs w:val="22"/>
                <w:lang w:val="uk-UA"/>
              </w:rPr>
              <w:t>. Перелік питань, які розглядались радою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54C564AB"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Наглядової Ради від 20 грудня 2024 року, Протокол №27_24, питання 9 порядку денного - Затвердження оновленого Організаційного кодексу та Положень підрозділів з контролю</w:t>
            </w:r>
          </w:p>
          <w:p w14:paraId="1B8A5BC2" w14:textId="33B3D9A6"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З метою дотримання Моделі ESG Групи з екологічних, соціальних та управлінських питань та у відповідності до Цільового організаційного кодексу, Банк доповнив функціонал структурних підрозділів, що займаються екологічними, соціальними та управлінськими питаннями (ESG), відповідними напрямами ESG-діяльності. Зазначені зміни знайшли своє відображення в Організаційному кодексі Банку та Положеннях про департамент комплаєнсу та протидії легалізації (відмиванню) доходів, одержаних злочинним шляхом, та департамент управління ризиками і пропонуються на розгляд та затвердження членам Наглядової Ради Банку.</w:t>
            </w:r>
          </w:p>
        </w:tc>
      </w:tr>
      <w:tr w:rsidR="008D4C2F" w:rsidRPr="004229C1" w14:paraId="751A4D1C" w14:textId="77777777" w:rsidTr="00124344">
        <w:trPr>
          <w:trHeight w:val="200"/>
        </w:trPr>
        <w:tc>
          <w:tcPr>
            <w:tcW w:w="300" w:type="dxa"/>
            <w:gridSpan w:val="2"/>
            <w:tcBorders>
              <w:top w:val="single" w:sz="6" w:space="0" w:color="auto"/>
              <w:bottom w:val="single" w:sz="6" w:space="0" w:color="auto"/>
              <w:right w:val="single" w:sz="6" w:space="0" w:color="auto"/>
            </w:tcBorders>
          </w:tcPr>
          <w:p w14:paraId="4080E3FD"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2BB7252C" w14:textId="51B4E33D"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008D4C2F" w:rsidRPr="004229C1">
              <w:rPr>
                <w:rFonts w:ascii="Times New Roman" w:hAnsi="Times New Roman" w:cs="Times New Roman"/>
                <w:kern w:val="0"/>
                <w:sz w:val="22"/>
                <w:szCs w:val="22"/>
                <w:lang w:val="uk-UA"/>
              </w:rPr>
              <w:t>. Перелік питань, які розглядались виконавчим органом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15B193DE"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 xml:space="preserve">Рішення Правління від 24 січня 2024 року, Протокол №5_24, питання 9.1 порядку денного – Взяття до уваги нового документу Групи новим документом «Правила щодо поводження з екологічними, соціальними, управлінськими ризиками та репутаційним ризиком» та його впровадження в Банку в оригінальній версії </w:t>
            </w:r>
          </w:p>
          <w:p w14:paraId="588267F7"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 xml:space="preserve">Відповідно до чинних регулювань, «Керівні принципи Групи щодо управління екологічними, соціальними та управлінськими ризиками (ризики ESG)» і «Керівні принципи Групи щодо управління репутаційними ризиками», визначають поводження з ESG та репутаційним ризиком як ключову діяльність для оцінки та пом’якшення ESG й репутаційні ризики. Діяльність допомагає процесу прийняття рішень, надаючи інформовану та всебічну оцінку </w:t>
            </w:r>
            <w:proofErr w:type="spellStart"/>
            <w:r w:rsidRPr="004229C1">
              <w:rPr>
                <w:rFonts w:ascii="Times New Roman" w:eastAsia="Times New Roman" w:hAnsi="Times New Roman" w:cs="Times New Roman"/>
                <w:bCs/>
                <w:sz w:val="22"/>
                <w:szCs w:val="22"/>
                <w:lang w:val="uk-UA"/>
              </w:rPr>
              <w:t>транзакційного</w:t>
            </w:r>
            <w:proofErr w:type="spellEnd"/>
            <w:r w:rsidRPr="004229C1">
              <w:rPr>
                <w:rFonts w:ascii="Times New Roman" w:eastAsia="Times New Roman" w:hAnsi="Times New Roman" w:cs="Times New Roman"/>
                <w:bCs/>
                <w:sz w:val="22"/>
                <w:szCs w:val="22"/>
                <w:lang w:val="uk-UA"/>
              </w:rPr>
              <w:t xml:space="preserve"> ризику, ризику контрагентів та ініціатив шляхом оцінки їхніх відповідних потенційних профілів ризику.</w:t>
            </w:r>
          </w:p>
          <w:p w14:paraId="1DDB510A"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З випуском цих Правил (додаються, видано у грудні 2023) Група визначає та формалізує сферу дій та ініціативи, які покривають поводження з ESG та репутаційним ризиком, а також відповідні методології та цілі.</w:t>
            </w:r>
          </w:p>
          <w:p w14:paraId="01C0AC1A"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Група запровадила спеціальні процеси для виявлення та управління ризиками з метою забезпечення довгострокової стійкості та безперервності бізнесу на користь своїх зацікавлених сторін. У рамках цих процесів особлива увага приділяється зміцненню структури управління ESG та репутаційним ризиком.</w:t>
            </w:r>
          </w:p>
          <w:p w14:paraId="2C19CEAB" w14:textId="57970F2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Правила впроваджено в оригінальній версії «як є».</w:t>
            </w:r>
          </w:p>
        </w:tc>
      </w:tr>
      <w:tr w:rsidR="008D4C2F" w:rsidRPr="004229C1" w14:paraId="5071FB82" w14:textId="77777777" w:rsidTr="00124344">
        <w:trPr>
          <w:trHeight w:val="200"/>
        </w:trPr>
        <w:tc>
          <w:tcPr>
            <w:tcW w:w="300" w:type="dxa"/>
            <w:gridSpan w:val="2"/>
            <w:tcBorders>
              <w:top w:val="single" w:sz="6" w:space="0" w:color="auto"/>
              <w:bottom w:val="single" w:sz="6" w:space="0" w:color="auto"/>
              <w:right w:val="single" w:sz="6" w:space="0" w:color="auto"/>
            </w:tcBorders>
          </w:tcPr>
          <w:p w14:paraId="5EDB9883"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2976B54E" w14:textId="44F3D754"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008D4C2F" w:rsidRPr="004229C1">
              <w:rPr>
                <w:rFonts w:ascii="Times New Roman" w:hAnsi="Times New Roman" w:cs="Times New Roman"/>
                <w:kern w:val="0"/>
                <w:sz w:val="22"/>
                <w:szCs w:val="22"/>
                <w:lang w:val="uk-UA"/>
              </w:rPr>
              <w:t>. Перелік питань, які розглядались виконавчим органом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592D1D5E"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Правління від 15 лютого 2024 року, Протокол №6_24, питання 13 порядку денного – Затвердження оновленого внутрішнього документу Правила протидії сексуальним домаганням АТ «ПРАВЕКС БАНК».</w:t>
            </w:r>
          </w:p>
          <w:p w14:paraId="32CC7398"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Оновлення документа спрямоване на удосконалення внутрішніх механізмів запобігання та реагування на випадки сексуальних домагань, а також на зміцнення політики Банку щодо забезпечення безпечного, етичного та шанобливого робочого середовища.</w:t>
            </w:r>
          </w:p>
          <w:p w14:paraId="4A163166" w14:textId="687B5CE4"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АТ "ПРАВЕКС БАНК" дотримується принципів нульової толерантності до будь-яких проявів дискримінації та домагань і прагне до створення корпоративної культури, що ґрунтується на взаємоповазі, рівності та правовій захищеності всіх працівників.</w:t>
            </w:r>
          </w:p>
        </w:tc>
      </w:tr>
      <w:tr w:rsidR="008D4C2F" w:rsidRPr="004229C1" w14:paraId="7CC4BB50" w14:textId="77777777" w:rsidTr="00124344">
        <w:trPr>
          <w:trHeight w:val="200"/>
        </w:trPr>
        <w:tc>
          <w:tcPr>
            <w:tcW w:w="300" w:type="dxa"/>
            <w:gridSpan w:val="2"/>
            <w:tcBorders>
              <w:top w:val="single" w:sz="6" w:space="0" w:color="auto"/>
              <w:bottom w:val="single" w:sz="6" w:space="0" w:color="auto"/>
              <w:right w:val="single" w:sz="6" w:space="0" w:color="auto"/>
            </w:tcBorders>
          </w:tcPr>
          <w:p w14:paraId="4CCEBBD2"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320844E0" w14:textId="4B523D4D"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008D4C2F" w:rsidRPr="004229C1">
              <w:rPr>
                <w:rFonts w:ascii="Times New Roman" w:hAnsi="Times New Roman" w:cs="Times New Roman"/>
                <w:kern w:val="0"/>
                <w:sz w:val="22"/>
                <w:szCs w:val="22"/>
                <w:lang w:val="uk-UA"/>
              </w:rPr>
              <w:t>. Перелік питань, які розглядались виконавчим органом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5396531B"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 xml:space="preserve">Рішення Правління від 12 липня 2024 року, Протокол №21_24, питання 5 порядку денного - Затвердження витрат, пов’язаних із придбанням резервних джерел живлення (інноваційних </w:t>
            </w:r>
            <w:proofErr w:type="spellStart"/>
            <w:r w:rsidRPr="004229C1">
              <w:rPr>
                <w:rFonts w:ascii="Times New Roman" w:eastAsia="Times New Roman" w:hAnsi="Times New Roman" w:cs="Times New Roman"/>
                <w:sz w:val="22"/>
                <w:szCs w:val="22"/>
                <w:lang w:val="uk-UA"/>
              </w:rPr>
              <w:t>інверторних</w:t>
            </w:r>
            <w:proofErr w:type="spellEnd"/>
            <w:r w:rsidRPr="004229C1">
              <w:rPr>
                <w:rFonts w:ascii="Times New Roman" w:eastAsia="Times New Roman" w:hAnsi="Times New Roman" w:cs="Times New Roman"/>
                <w:sz w:val="22"/>
                <w:szCs w:val="22"/>
                <w:lang w:val="uk-UA"/>
              </w:rPr>
              <w:t xml:space="preserve"> систем) для забезпечення відділень Банку.</w:t>
            </w:r>
          </w:p>
          <w:p w14:paraId="02471A33" w14:textId="48FF224D"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 xml:space="preserve">Відділення Банку забезпечені переносними бензиновими генераторами, виконано підключення даного обладнання до енергомереж відділень, а також забезпечено їх експлуатацію у відповідності до вимог чинного законодавства. Однак, було прийнято рішення про перехід до </w:t>
            </w:r>
            <w:proofErr w:type="spellStart"/>
            <w:r w:rsidRPr="004229C1">
              <w:rPr>
                <w:rFonts w:ascii="Times New Roman" w:eastAsia="Times New Roman" w:hAnsi="Times New Roman" w:cs="Times New Roman"/>
                <w:bCs/>
                <w:sz w:val="22"/>
                <w:szCs w:val="22"/>
                <w:lang w:val="uk-UA"/>
              </w:rPr>
              <w:t>інверторних</w:t>
            </w:r>
            <w:proofErr w:type="spellEnd"/>
            <w:r w:rsidRPr="004229C1">
              <w:rPr>
                <w:rFonts w:ascii="Times New Roman" w:eastAsia="Times New Roman" w:hAnsi="Times New Roman" w:cs="Times New Roman"/>
                <w:bCs/>
                <w:sz w:val="22"/>
                <w:szCs w:val="22"/>
                <w:lang w:val="uk-UA"/>
              </w:rPr>
              <w:t xml:space="preserve"> систем.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 це інноваційна енергетична система, яка дозволяє ефективно керувати та оптимізувати використання електроенергії у відділенні банку.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якісно інтегрується в існуючу електромережу відділення та автоматично розподіляє накопичену енергію в залежності від потреб, забезпечуючи надійне енергопостачання навіть у пікові години. У разі відключення електроенергії або перевантаження мережі, інвертор автоматично перемикається на споживання електроенергії з акумулятора, що дозволяє уникнути перерв у живленні без необхідності втручання з боку людини, як це буває з генераторами.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набагато економніша від генераторів з точки зору операційних витрат (відсутні витрати на паливо, електриків, навчання персоналу і </w:t>
            </w:r>
            <w:proofErr w:type="spellStart"/>
            <w:r w:rsidRPr="004229C1">
              <w:rPr>
                <w:rFonts w:ascii="Times New Roman" w:eastAsia="Times New Roman" w:hAnsi="Times New Roman" w:cs="Times New Roman"/>
                <w:bCs/>
                <w:sz w:val="22"/>
                <w:szCs w:val="22"/>
                <w:lang w:val="uk-UA"/>
              </w:rPr>
              <w:t>т.д</w:t>
            </w:r>
            <w:proofErr w:type="spellEnd"/>
            <w:r w:rsidRPr="004229C1">
              <w:rPr>
                <w:rFonts w:ascii="Times New Roman" w:eastAsia="Times New Roman" w:hAnsi="Times New Roman" w:cs="Times New Roman"/>
                <w:bCs/>
                <w:sz w:val="22"/>
                <w:szCs w:val="22"/>
                <w:lang w:val="uk-UA"/>
              </w:rPr>
              <w:t xml:space="preserve">.). Крім того, система дозволяє налаштувати зарядку </w:t>
            </w:r>
            <w:proofErr w:type="spellStart"/>
            <w:r w:rsidRPr="004229C1">
              <w:rPr>
                <w:rFonts w:ascii="Times New Roman" w:eastAsia="Times New Roman" w:hAnsi="Times New Roman" w:cs="Times New Roman"/>
                <w:bCs/>
                <w:sz w:val="22"/>
                <w:szCs w:val="22"/>
                <w:lang w:val="uk-UA"/>
              </w:rPr>
              <w:t>батарей</w:t>
            </w:r>
            <w:proofErr w:type="spellEnd"/>
            <w:r w:rsidRPr="004229C1">
              <w:rPr>
                <w:rFonts w:ascii="Times New Roman" w:eastAsia="Times New Roman" w:hAnsi="Times New Roman" w:cs="Times New Roman"/>
                <w:bCs/>
                <w:sz w:val="22"/>
                <w:szCs w:val="22"/>
                <w:lang w:val="uk-UA"/>
              </w:rPr>
              <w:t xml:space="preserve"> в нічний час, що дозволяє заощадити на електроенергії при використанні відповідних лічильників день-ніч. Це надає додаткові можливості для зниження витрат на електроенергію. Ці пристрої існують в різних варіантах потужності, в залежності від обсягів споживання їх можна нарощувати. Встановлюються стаціонарно у приміщенні та мають гарний естетичний вигляд..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має високу ступінь надійності завдяки резервним джерелам живлення та інтегрованим механізмам захисту. Завдяки використанню сучасних алгоритмів штучного інтелекту,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автоматично оптимізує процеси споживання енергії. </w:t>
            </w:r>
            <w:proofErr w:type="spellStart"/>
            <w:r w:rsidRPr="004229C1">
              <w:rPr>
                <w:rFonts w:ascii="Times New Roman" w:eastAsia="Times New Roman" w:hAnsi="Times New Roman" w:cs="Times New Roman"/>
                <w:bCs/>
                <w:sz w:val="22"/>
                <w:szCs w:val="22"/>
                <w:lang w:val="uk-UA"/>
              </w:rPr>
              <w:t>Інверторна</w:t>
            </w:r>
            <w:proofErr w:type="spellEnd"/>
            <w:r w:rsidRPr="004229C1">
              <w:rPr>
                <w:rFonts w:ascii="Times New Roman" w:eastAsia="Times New Roman" w:hAnsi="Times New Roman" w:cs="Times New Roman"/>
                <w:bCs/>
                <w:sz w:val="22"/>
                <w:szCs w:val="22"/>
                <w:lang w:val="uk-UA"/>
              </w:rPr>
              <w:t xml:space="preserve"> система виконує також екологічну місію – зменшується кількість викидів CO2, а використання відновлювальних джерел енергії сприяють збереженню навколишнього середовища.</w:t>
            </w:r>
          </w:p>
        </w:tc>
      </w:tr>
      <w:tr w:rsidR="008D4C2F" w:rsidRPr="004229C1" w14:paraId="1CF328D2" w14:textId="77777777" w:rsidTr="00124344">
        <w:trPr>
          <w:trHeight w:val="200"/>
        </w:trPr>
        <w:tc>
          <w:tcPr>
            <w:tcW w:w="300" w:type="dxa"/>
            <w:gridSpan w:val="2"/>
            <w:tcBorders>
              <w:top w:val="single" w:sz="6" w:space="0" w:color="auto"/>
              <w:bottom w:val="single" w:sz="6" w:space="0" w:color="auto"/>
              <w:right w:val="single" w:sz="6" w:space="0" w:color="auto"/>
            </w:tcBorders>
          </w:tcPr>
          <w:p w14:paraId="1C762285"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4700" w:type="dxa"/>
            <w:gridSpan w:val="3"/>
            <w:tcBorders>
              <w:top w:val="single" w:sz="6" w:space="0" w:color="auto"/>
              <w:left w:val="single" w:sz="6" w:space="0" w:color="auto"/>
              <w:bottom w:val="single" w:sz="6" w:space="0" w:color="auto"/>
              <w:right w:val="single" w:sz="6" w:space="0" w:color="auto"/>
            </w:tcBorders>
          </w:tcPr>
          <w:p w14:paraId="7B16F8B8" w14:textId="6EF8DD5F" w:rsidR="008D4C2F" w:rsidRPr="004229C1" w:rsidRDefault="00124344"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r w:rsidR="008D4C2F" w:rsidRPr="004229C1">
              <w:rPr>
                <w:rFonts w:ascii="Times New Roman" w:hAnsi="Times New Roman" w:cs="Times New Roman"/>
                <w:kern w:val="0"/>
                <w:sz w:val="22"/>
                <w:szCs w:val="22"/>
                <w:lang w:val="uk-UA"/>
              </w:rPr>
              <w:t>. Перелік питань, які розглядались виконавчим органом та короткий зміст рішень, які було прийнято:</w:t>
            </w:r>
          </w:p>
        </w:tc>
        <w:tc>
          <w:tcPr>
            <w:tcW w:w="5000" w:type="dxa"/>
            <w:gridSpan w:val="2"/>
            <w:tcBorders>
              <w:top w:val="single" w:sz="6" w:space="0" w:color="auto"/>
              <w:left w:val="single" w:sz="6" w:space="0" w:color="auto"/>
              <w:bottom w:val="single" w:sz="6" w:space="0" w:color="auto"/>
            </w:tcBorders>
          </w:tcPr>
          <w:p w14:paraId="7ED3C899" w14:textId="7777777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sz w:val="22"/>
                <w:szCs w:val="22"/>
                <w:lang w:val="uk-UA"/>
              </w:rPr>
              <w:t>Рішення Правління від 30 серпня 2024 року, Протокол №26_24, питання 15 порядку денного - Призначення менеджера з екологічних, соціальних та управлінських питань Банку (Перший Заступник Голови Правління)</w:t>
            </w:r>
          </w:p>
          <w:p w14:paraId="1DC3939D" w14:textId="77777777" w:rsidR="008D4C2F" w:rsidRPr="004229C1" w:rsidRDefault="008D4C2F" w:rsidP="008D4C2F">
            <w:pPr>
              <w:spacing w:line="240" w:lineRule="auto"/>
              <w:jc w:val="both"/>
              <w:rPr>
                <w:rFonts w:ascii="Times New Roman" w:eastAsia="Times New Roman" w:hAnsi="Times New Roman" w:cs="Times New Roman"/>
                <w:b/>
                <w:bCs/>
                <w:sz w:val="22"/>
                <w:szCs w:val="22"/>
                <w:lang w:val="uk-UA"/>
              </w:rPr>
            </w:pPr>
            <w:r w:rsidRPr="004229C1">
              <w:rPr>
                <w:rFonts w:ascii="Times New Roman" w:eastAsia="Times New Roman" w:hAnsi="Times New Roman" w:cs="Times New Roman"/>
                <w:bCs/>
                <w:sz w:val="22"/>
                <w:szCs w:val="22"/>
                <w:lang w:val="uk-UA"/>
              </w:rPr>
              <w:t>Цей крок підтверджує відданість Банку принципам сталого розвитку, корпоративної відповідальності та інтеграції ESG-стандартів у бізнес-процеси. Менеджер з ESG питань продовжить виконання своїх обов’язків, спрямованих на реалізацію екологічної та соціальної політики Банку, дотримання міжнародних стандартів ESG та посилення корпоративного управління.</w:t>
            </w:r>
          </w:p>
          <w:p w14:paraId="3B5091B9" w14:textId="7302B597" w:rsidR="008D4C2F" w:rsidRPr="004229C1" w:rsidRDefault="008D4C2F" w:rsidP="008D4C2F">
            <w:pPr>
              <w:spacing w:line="240" w:lineRule="auto"/>
              <w:jc w:val="both"/>
              <w:rPr>
                <w:rFonts w:ascii="Times New Roman" w:eastAsia="Times New Roman" w:hAnsi="Times New Roman" w:cs="Times New Roman"/>
                <w:sz w:val="22"/>
                <w:szCs w:val="22"/>
                <w:lang w:val="uk-UA"/>
              </w:rPr>
            </w:pPr>
            <w:r w:rsidRPr="004229C1">
              <w:rPr>
                <w:rFonts w:ascii="Times New Roman" w:eastAsia="Times New Roman" w:hAnsi="Times New Roman" w:cs="Times New Roman"/>
                <w:bCs/>
                <w:sz w:val="22"/>
                <w:szCs w:val="22"/>
                <w:lang w:val="uk-UA"/>
              </w:rPr>
              <w:t xml:space="preserve">АТ "ПРАВЕКС БАНК" залишається активним учасником ініціатив із екологічної та соціальної відповідальності, </w:t>
            </w:r>
            <w:proofErr w:type="spellStart"/>
            <w:r w:rsidRPr="004229C1">
              <w:rPr>
                <w:rFonts w:ascii="Times New Roman" w:eastAsia="Times New Roman" w:hAnsi="Times New Roman" w:cs="Times New Roman"/>
                <w:bCs/>
                <w:sz w:val="22"/>
                <w:szCs w:val="22"/>
                <w:lang w:val="uk-UA"/>
              </w:rPr>
              <w:t>прагнучи</w:t>
            </w:r>
            <w:proofErr w:type="spellEnd"/>
            <w:r w:rsidRPr="004229C1">
              <w:rPr>
                <w:rFonts w:ascii="Times New Roman" w:eastAsia="Times New Roman" w:hAnsi="Times New Roman" w:cs="Times New Roman"/>
                <w:bCs/>
                <w:sz w:val="22"/>
                <w:szCs w:val="22"/>
                <w:lang w:val="uk-UA"/>
              </w:rPr>
              <w:t xml:space="preserve"> відповідати найкращим світовим практикам у сфері сталого розвитку.</w:t>
            </w:r>
          </w:p>
        </w:tc>
      </w:tr>
      <w:tr w:rsidR="008D4C2F" w:rsidRPr="004229C1" w14:paraId="359CB78D" w14:textId="5FA78C64" w:rsidTr="00124344">
        <w:trPr>
          <w:trHeight w:val="200"/>
        </w:trPr>
        <w:tc>
          <w:tcPr>
            <w:tcW w:w="300" w:type="dxa"/>
            <w:gridSpan w:val="2"/>
            <w:tcBorders>
              <w:top w:val="single" w:sz="6" w:space="0" w:color="auto"/>
              <w:bottom w:val="single" w:sz="6" w:space="0" w:color="auto"/>
              <w:right w:val="single" w:sz="6" w:space="0" w:color="auto"/>
            </w:tcBorders>
          </w:tcPr>
          <w:p w14:paraId="11E8FE7D"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c>
          <w:tcPr>
            <w:tcW w:w="9700" w:type="dxa"/>
            <w:gridSpan w:val="5"/>
            <w:tcBorders>
              <w:top w:val="single" w:sz="6" w:space="0" w:color="auto"/>
              <w:left w:val="single" w:sz="6" w:space="0" w:color="auto"/>
              <w:bottom w:val="single" w:sz="6" w:space="0" w:color="auto"/>
            </w:tcBorders>
          </w:tcPr>
          <w:p w14:paraId="3277B663" w14:textId="77777777" w:rsidR="008D4C2F" w:rsidRPr="004229C1" w:rsidRDefault="008D4C2F"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Перелік ключових стейкхолдерів, на яких має вплив діяльність особи із зазначенням обґрунтування в чому саме полягає такий вплив:</w:t>
            </w:r>
          </w:p>
        </w:tc>
      </w:tr>
      <w:tr w:rsidR="008D4C2F" w:rsidRPr="004229C1" w14:paraId="58472467" w14:textId="1DB35DD6" w:rsidTr="00124344">
        <w:trPr>
          <w:trHeight w:val="200"/>
        </w:trPr>
        <w:tc>
          <w:tcPr>
            <w:tcW w:w="300" w:type="dxa"/>
            <w:gridSpan w:val="2"/>
            <w:tcBorders>
              <w:top w:val="single" w:sz="6" w:space="0" w:color="auto"/>
              <w:bottom w:val="single" w:sz="6" w:space="0" w:color="auto"/>
              <w:right w:val="single" w:sz="6" w:space="0" w:color="auto"/>
            </w:tcBorders>
          </w:tcPr>
          <w:p w14:paraId="583A6FEB"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9700" w:type="dxa"/>
            <w:gridSpan w:val="5"/>
            <w:tcBorders>
              <w:top w:val="single" w:sz="6" w:space="0" w:color="auto"/>
              <w:left w:val="single" w:sz="6" w:space="0" w:color="auto"/>
              <w:bottom w:val="single" w:sz="6" w:space="0" w:color="auto"/>
            </w:tcBorders>
          </w:tcPr>
          <w:p w14:paraId="54E46017" w14:textId="77777777" w:rsidR="008D4C2F" w:rsidRPr="004229C1" w:rsidRDefault="008D4C2F" w:rsidP="008D4C2F">
            <w:pPr>
              <w:widowControl w:val="0"/>
              <w:autoSpaceDE w:val="0"/>
              <w:autoSpaceDN w:val="0"/>
              <w:adjustRightInd w:val="0"/>
              <w:spacing w:after="0" w:line="240" w:lineRule="auto"/>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Такi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стейкхолдери</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вiдсутнi</w:t>
            </w:r>
            <w:proofErr w:type="spellEnd"/>
          </w:p>
        </w:tc>
      </w:tr>
      <w:tr w:rsidR="008D4C2F" w:rsidRPr="004229C1" w14:paraId="184D937E" w14:textId="77777777" w:rsidTr="00124344">
        <w:trPr>
          <w:trHeight w:val="200"/>
        </w:trPr>
        <w:tc>
          <w:tcPr>
            <w:tcW w:w="300" w:type="dxa"/>
            <w:gridSpan w:val="2"/>
            <w:tcBorders>
              <w:top w:val="single" w:sz="6" w:space="0" w:color="auto"/>
              <w:bottom w:val="single" w:sz="6" w:space="0" w:color="auto"/>
              <w:right w:val="single" w:sz="6" w:space="0" w:color="auto"/>
            </w:tcBorders>
          </w:tcPr>
          <w:p w14:paraId="3C4C5949"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p>
        </w:tc>
        <w:tc>
          <w:tcPr>
            <w:tcW w:w="9700" w:type="dxa"/>
            <w:gridSpan w:val="5"/>
            <w:tcBorders>
              <w:top w:val="single" w:sz="6" w:space="0" w:color="auto"/>
              <w:left w:val="single" w:sz="6" w:space="0" w:color="auto"/>
              <w:bottom w:val="single" w:sz="6" w:space="0" w:color="auto"/>
            </w:tcBorders>
          </w:tcPr>
          <w:p w14:paraId="580A2580" w14:textId="77777777" w:rsidR="008D4C2F" w:rsidRPr="004229C1" w:rsidRDefault="008D4C2F" w:rsidP="008D4C2F">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Перелік стейкхолдерів, які мають вплив на досягнення особою стратегічних цілей із зазначенням обґрунтування в чому саме полягає такий вплив:</w:t>
            </w:r>
          </w:p>
        </w:tc>
      </w:tr>
      <w:tr w:rsidR="008D4C2F" w:rsidRPr="004229C1" w14:paraId="2E15E7CC" w14:textId="77777777" w:rsidTr="00124344">
        <w:trPr>
          <w:trHeight w:val="200"/>
        </w:trPr>
        <w:tc>
          <w:tcPr>
            <w:tcW w:w="300" w:type="dxa"/>
            <w:gridSpan w:val="2"/>
            <w:tcBorders>
              <w:top w:val="single" w:sz="6" w:space="0" w:color="auto"/>
              <w:bottom w:val="single" w:sz="6" w:space="0" w:color="auto"/>
              <w:right w:val="single" w:sz="6" w:space="0" w:color="auto"/>
            </w:tcBorders>
          </w:tcPr>
          <w:p w14:paraId="73200324"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9700" w:type="dxa"/>
            <w:gridSpan w:val="5"/>
            <w:tcBorders>
              <w:top w:val="single" w:sz="6" w:space="0" w:color="auto"/>
              <w:left w:val="single" w:sz="6" w:space="0" w:color="auto"/>
              <w:bottom w:val="single" w:sz="6" w:space="0" w:color="auto"/>
            </w:tcBorders>
          </w:tcPr>
          <w:p w14:paraId="6AE30D65" w14:textId="77777777" w:rsidR="008D4C2F" w:rsidRPr="004229C1" w:rsidRDefault="008D4C2F" w:rsidP="00124344">
            <w:pPr>
              <w:autoSpaceDE w:val="0"/>
              <w:autoSpaceDN w:val="0"/>
              <w:adjustRightInd w:val="0"/>
              <w:spacing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АТ "ПРАВЕКС БАНК" взаємодіє з різними зацікавленими сторонами (стейкхолдерами), які безпосередньо чи опосередковано впливають на реалізацію його стратегічних цілей. Основні </w:t>
            </w:r>
            <w:proofErr w:type="spellStart"/>
            <w:r w:rsidRPr="004229C1">
              <w:rPr>
                <w:rFonts w:ascii="Times New Roman" w:eastAsia="Times New Roman" w:hAnsi="Times New Roman" w:cs="Times New Roman"/>
                <w:sz w:val="22"/>
                <w:szCs w:val="22"/>
                <w:lang w:val="uk-UA"/>
              </w:rPr>
              <w:t>стейкхолдери</w:t>
            </w:r>
            <w:proofErr w:type="spellEnd"/>
            <w:r w:rsidRPr="004229C1">
              <w:rPr>
                <w:rFonts w:ascii="Times New Roman" w:eastAsia="Times New Roman" w:hAnsi="Times New Roman" w:cs="Times New Roman"/>
                <w:sz w:val="22"/>
                <w:szCs w:val="22"/>
                <w:lang w:val="uk-UA"/>
              </w:rPr>
              <w:t xml:space="preserve"> та їхній вплив:</w:t>
            </w:r>
          </w:p>
          <w:p w14:paraId="2385CA36"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1. </w:t>
            </w:r>
            <w:r w:rsidRPr="004229C1">
              <w:rPr>
                <w:rFonts w:ascii="Times New Roman" w:eastAsia="Times New Roman" w:hAnsi="Times New Roman" w:cs="Times New Roman"/>
                <w:i/>
                <w:iCs/>
                <w:sz w:val="22"/>
                <w:szCs w:val="22"/>
                <w:u w:val="single"/>
                <w:lang w:val="uk-UA"/>
              </w:rPr>
              <w:t>Клієнти</w:t>
            </w:r>
          </w:p>
          <w:p w14:paraId="5EAB5075" w14:textId="77777777" w:rsidR="008D4C2F" w:rsidRPr="004229C1" w:rsidRDefault="008D4C2F" w:rsidP="00124344">
            <w:pPr>
              <w:pStyle w:val="ListParagraph"/>
              <w:numPr>
                <w:ilvl w:val="0"/>
                <w:numId w:val="29"/>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Формують попит на банківські послуги, визначаючи необхідність розвитку нових продуктів та сервісів.</w:t>
            </w:r>
          </w:p>
          <w:p w14:paraId="6D3A8659" w14:textId="77777777" w:rsidR="008D4C2F" w:rsidRPr="004229C1" w:rsidRDefault="008D4C2F" w:rsidP="00124344">
            <w:pPr>
              <w:pStyle w:val="ListParagraph"/>
              <w:numPr>
                <w:ilvl w:val="0"/>
                <w:numId w:val="29"/>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Очікують високого рівня обслуговування, надійності та інновацій, що впливає на стратегічний напрямок банку.</w:t>
            </w:r>
          </w:p>
          <w:p w14:paraId="7940E91B"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 xml:space="preserve">2. </w:t>
            </w:r>
            <w:r w:rsidRPr="004229C1">
              <w:rPr>
                <w:rFonts w:ascii="Times New Roman" w:eastAsia="Times New Roman" w:hAnsi="Times New Roman" w:cs="Times New Roman"/>
                <w:i/>
                <w:iCs/>
                <w:sz w:val="22"/>
                <w:szCs w:val="22"/>
                <w:u w:val="single"/>
                <w:lang w:val="uk-UA"/>
              </w:rPr>
              <w:t>Співробітники</w:t>
            </w:r>
          </w:p>
          <w:p w14:paraId="4A3BBCD9" w14:textId="77777777" w:rsidR="008D4C2F" w:rsidRPr="004229C1" w:rsidRDefault="008D4C2F" w:rsidP="00124344">
            <w:pPr>
              <w:pStyle w:val="ListParagraph"/>
              <w:numPr>
                <w:ilvl w:val="0"/>
                <w:numId w:val="30"/>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Від їхньої кваліфікації, залученості та мотивації залежить ефективність банківських операцій.</w:t>
            </w:r>
          </w:p>
          <w:p w14:paraId="70C8BD67" w14:textId="77777777" w:rsidR="008D4C2F" w:rsidRPr="004229C1" w:rsidRDefault="008D4C2F" w:rsidP="00124344">
            <w:pPr>
              <w:pStyle w:val="ListParagraph"/>
              <w:numPr>
                <w:ilvl w:val="0"/>
                <w:numId w:val="30"/>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Важливими факторами є корпоративна культура, умови праці та можливості професійного розвитку.</w:t>
            </w:r>
          </w:p>
          <w:p w14:paraId="6016F9D3"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i/>
                <w:iCs/>
                <w:sz w:val="22"/>
                <w:szCs w:val="22"/>
                <w:u w:val="single"/>
                <w:lang w:val="uk-UA"/>
              </w:rPr>
            </w:pPr>
            <w:r w:rsidRPr="004229C1">
              <w:rPr>
                <w:rFonts w:ascii="Times New Roman" w:eastAsia="Times New Roman" w:hAnsi="Times New Roman" w:cs="Times New Roman"/>
                <w:i/>
                <w:iCs/>
                <w:sz w:val="22"/>
                <w:szCs w:val="22"/>
                <w:u w:val="single"/>
                <w:lang w:val="uk-UA"/>
              </w:rPr>
              <w:t>3. Акціонери та інвестори</w:t>
            </w:r>
          </w:p>
          <w:p w14:paraId="6C7AF296" w14:textId="77777777" w:rsidR="008D4C2F" w:rsidRPr="004229C1" w:rsidRDefault="008D4C2F" w:rsidP="00124344">
            <w:pPr>
              <w:pStyle w:val="ListParagraph"/>
              <w:numPr>
                <w:ilvl w:val="0"/>
                <w:numId w:val="31"/>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Впливають на фінансову стійкість банку, надаючи капітал для розвитку.</w:t>
            </w:r>
          </w:p>
          <w:p w14:paraId="43B943A7" w14:textId="77777777" w:rsidR="008D4C2F" w:rsidRPr="004229C1" w:rsidRDefault="008D4C2F" w:rsidP="00124344">
            <w:pPr>
              <w:pStyle w:val="ListParagraph"/>
              <w:numPr>
                <w:ilvl w:val="0"/>
                <w:numId w:val="31"/>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Очікують прозорості, ефективного управління та стабільної прибутковості.</w:t>
            </w:r>
          </w:p>
          <w:p w14:paraId="35652B85"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i/>
                <w:iCs/>
                <w:sz w:val="22"/>
                <w:szCs w:val="22"/>
                <w:u w:val="single"/>
                <w:lang w:val="uk-UA"/>
              </w:rPr>
            </w:pPr>
            <w:r w:rsidRPr="004229C1">
              <w:rPr>
                <w:rFonts w:ascii="Times New Roman" w:eastAsia="Times New Roman" w:hAnsi="Times New Roman" w:cs="Times New Roman"/>
                <w:i/>
                <w:iCs/>
                <w:sz w:val="22"/>
                <w:szCs w:val="22"/>
                <w:u w:val="single"/>
                <w:lang w:val="uk-UA"/>
              </w:rPr>
              <w:t>4. Державні органи та регулятори</w:t>
            </w:r>
          </w:p>
          <w:p w14:paraId="05435C98" w14:textId="77777777" w:rsidR="008D4C2F" w:rsidRPr="004229C1" w:rsidRDefault="008D4C2F" w:rsidP="00124344">
            <w:pPr>
              <w:pStyle w:val="ListParagraph"/>
              <w:numPr>
                <w:ilvl w:val="0"/>
                <w:numId w:val="32"/>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Визначають нормативно-правову базу діяльності банку.</w:t>
            </w:r>
          </w:p>
          <w:p w14:paraId="0443ED71" w14:textId="77777777" w:rsidR="008D4C2F" w:rsidRPr="004229C1" w:rsidRDefault="008D4C2F" w:rsidP="00124344">
            <w:pPr>
              <w:pStyle w:val="ListParagraph"/>
              <w:numPr>
                <w:ilvl w:val="0"/>
                <w:numId w:val="32"/>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Контролюють дотримання законодавства у сфері фінансів, корпоративного управління, екологічної та соціальної відповідальності.</w:t>
            </w:r>
          </w:p>
          <w:p w14:paraId="3CF8C0B2"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i/>
                <w:iCs/>
                <w:sz w:val="22"/>
                <w:szCs w:val="22"/>
                <w:u w:val="single"/>
                <w:lang w:val="uk-UA"/>
              </w:rPr>
            </w:pPr>
            <w:r w:rsidRPr="004229C1">
              <w:rPr>
                <w:rFonts w:ascii="Times New Roman" w:eastAsia="Times New Roman" w:hAnsi="Times New Roman" w:cs="Times New Roman"/>
                <w:i/>
                <w:iCs/>
                <w:sz w:val="22"/>
                <w:szCs w:val="22"/>
                <w:u w:val="single"/>
                <w:lang w:val="uk-UA"/>
              </w:rPr>
              <w:t>5. Партнери та постачальники</w:t>
            </w:r>
          </w:p>
          <w:p w14:paraId="2E0552CB" w14:textId="77777777" w:rsidR="008D4C2F" w:rsidRPr="004229C1" w:rsidRDefault="008D4C2F" w:rsidP="00124344">
            <w:pPr>
              <w:pStyle w:val="ListParagraph"/>
              <w:numPr>
                <w:ilvl w:val="0"/>
                <w:numId w:val="33"/>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Забезпечують безперебійну роботу банку, надаючи технологічні, фінансові та інші послуги.</w:t>
            </w:r>
          </w:p>
          <w:p w14:paraId="1D45FF54" w14:textId="77777777" w:rsidR="008D4C2F" w:rsidRPr="004229C1" w:rsidRDefault="008D4C2F" w:rsidP="00124344">
            <w:pPr>
              <w:pStyle w:val="ListParagraph"/>
              <w:numPr>
                <w:ilvl w:val="0"/>
                <w:numId w:val="33"/>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Від рівня співпраці з партнерами залежить якість банківських продуктів та їх конкурентоспроможність.</w:t>
            </w:r>
          </w:p>
          <w:p w14:paraId="2160FB3B"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i/>
                <w:iCs/>
                <w:sz w:val="22"/>
                <w:szCs w:val="22"/>
                <w:u w:val="single"/>
                <w:lang w:val="uk-UA"/>
              </w:rPr>
            </w:pPr>
            <w:r w:rsidRPr="004229C1">
              <w:rPr>
                <w:rFonts w:ascii="Times New Roman" w:eastAsia="Times New Roman" w:hAnsi="Times New Roman" w:cs="Times New Roman"/>
                <w:i/>
                <w:iCs/>
                <w:sz w:val="22"/>
                <w:szCs w:val="22"/>
                <w:u w:val="single"/>
                <w:lang w:val="uk-UA"/>
              </w:rPr>
              <w:t>6. Місцеві громади та суспільство</w:t>
            </w:r>
          </w:p>
          <w:p w14:paraId="2092C560" w14:textId="77777777" w:rsidR="008D4C2F" w:rsidRPr="004229C1" w:rsidRDefault="008D4C2F" w:rsidP="00124344">
            <w:pPr>
              <w:pStyle w:val="ListParagraph"/>
              <w:numPr>
                <w:ilvl w:val="0"/>
                <w:numId w:val="34"/>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Очікують від банку соціальної відповідальності, участі у благодійних і сталих ініціативах.</w:t>
            </w:r>
          </w:p>
          <w:p w14:paraId="39AABD88" w14:textId="77777777" w:rsidR="008D4C2F" w:rsidRPr="004229C1" w:rsidRDefault="008D4C2F" w:rsidP="00124344">
            <w:pPr>
              <w:pStyle w:val="ListParagraph"/>
              <w:numPr>
                <w:ilvl w:val="0"/>
                <w:numId w:val="34"/>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Формують репутацію банку та рівень довіри до його діяльності.</w:t>
            </w:r>
          </w:p>
          <w:p w14:paraId="6635D316"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i/>
                <w:iCs/>
                <w:sz w:val="22"/>
                <w:szCs w:val="22"/>
                <w:u w:val="single"/>
                <w:lang w:val="uk-UA"/>
              </w:rPr>
            </w:pPr>
            <w:r w:rsidRPr="004229C1">
              <w:rPr>
                <w:rFonts w:ascii="Times New Roman" w:eastAsia="Times New Roman" w:hAnsi="Times New Roman" w:cs="Times New Roman"/>
                <w:i/>
                <w:iCs/>
                <w:sz w:val="22"/>
                <w:szCs w:val="22"/>
                <w:u w:val="single"/>
                <w:lang w:val="uk-UA"/>
              </w:rPr>
              <w:t>7. Міжнародні організації та фінансові інститути</w:t>
            </w:r>
          </w:p>
          <w:p w14:paraId="39EFD42D" w14:textId="77777777" w:rsidR="008D4C2F" w:rsidRPr="004229C1" w:rsidRDefault="008D4C2F" w:rsidP="00124344">
            <w:pPr>
              <w:pStyle w:val="ListParagraph"/>
              <w:numPr>
                <w:ilvl w:val="0"/>
                <w:numId w:val="35"/>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Визначають глобальні тенденції у сфері фінансів, ESG-стандартів і сталого розвитку.</w:t>
            </w:r>
          </w:p>
          <w:p w14:paraId="40AB8C61" w14:textId="77777777" w:rsidR="008D4C2F" w:rsidRPr="004229C1" w:rsidRDefault="008D4C2F" w:rsidP="00124344">
            <w:pPr>
              <w:pStyle w:val="ListParagraph"/>
              <w:numPr>
                <w:ilvl w:val="0"/>
                <w:numId w:val="35"/>
              </w:numPr>
              <w:autoSpaceDE w:val="0"/>
              <w:autoSpaceDN w:val="0"/>
              <w:adjustRightInd w:val="0"/>
              <w:spacing w:after="0" w:line="240" w:lineRule="auto"/>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Співпраця з міжнародними організаціями відкриває доступ до нових можливостей фінансування та партнерства.</w:t>
            </w:r>
          </w:p>
          <w:p w14:paraId="10352A66" w14:textId="77777777" w:rsidR="008D4C2F" w:rsidRPr="004229C1" w:rsidRDefault="008D4C2F" w:rsidP="00124344">
            <w:pPr>
              <w:autoSpaceDE w:val="0"/>
              <w:autoSpaceDN w:val="0"/>
              <w:adjustRightInd w:val="0"/>
              <w:spacing w:line="240" w:lineRule="auto"/>
              <w:ind w:firstLine="567"/>
              <w:jc w:val="both"/>
              <w:rPr>
                <w:rFonts w:ascii="Times New Roman" w:eastAsia="Times New Roman" w:hAnsi="Times New Roman" w:cs="Times New Roman"/>
                <w:b/>
                <w:sz w:val="22"/>
                <w:szCs w:val="22"/>
                <w:lang w:val="uk-UA"/>
              </w:rPr>
            </w:pPr>
            <w:r w:rsidRPr="004229C1">
              <w:rPr>
                <w:rFonts w:ascii="Times New Roman" w:eastAsia="Times New Roman" w:hAnsi="Times New Roman" w:cs="Times New Roman"/>
                <w:sz w:val="22"/>
                <w:szCs w:val="22"/>
                <w:lang w:val="uk-UA"/>
              </w:rPr>
              <w:t>Взаємодія з цими стейкхолдерами дозволяє Банку ефективно реалізовувати свою стратегію, адаптуватися до змін зовнішнього середовища та підвищувати свою конкурентоспроможність.</w:t>
            </w:r>
          </w:p>
          <w:p w14:paraId="624938D3" w14:textId="6B38535D" w:rsidR="008D4C2F" w:rsidRPr="004229C1" w:rsidRDefault="008D4C2F" w:rsidP="00124344">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r w:rsidR="008D4C2F" w:rsidRPr="004229C1" w14:paraId="090C2D20" w14:textId="77777777" w:rsidTr="00124344">
        <w:trPr>
          <w:trHeight w:val="200"/>
        </w:trPr>
        <w:tc>
          <w:tcPr>
            <w:tcW w:w="300" w:type="dxa"/>
            <w:gridSpan w:val="2"/>
            <w:tcBorders>
              <w:top w:val="single" w:sz="6" w:space="0" w:color="auto"/>
              <w:bottom w:val="single" w:sz="6" w:space="0" w:color="auto"/>
              <w:right w:val="single" w:sz="6" w:space="0" w:color="auto"/>
            </w:tcBorders>
          </w:tcPr>
          <w:p w14:paraId="196A3B3A"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9700" w:type="dxa"/>
            <w:gridSpan w:val="5"/>
            <w:tcBorders>
              <w:top w:val="single" w:sz="6" w:space="0" w:color="auto"/>
              <w:left w:val="single" w:sz="6" w:space="0" w:color="auto"/>
              <w:bottom w:val="single" w:sz="6" w:space="0" w:color="auto"/>
            </w:tcBorders>
          </w:tcPr>
          <w:p w14:paraId="1B6EE9CD" w14:textId="77777777" w:rsidR="008D4C2F" w:rsidRPr="004229C1" w:rsidRDefault="008D4C2F" w:rsidP="00124344">
            <w:pPr>
              <w:widowControl w:val="0"/>
              <w:autoSpaceDE w:val="0"/>
              <w:autoSpaceDN w:val="0"/>
              <w:adjustRightInd w:val="0"/>
              <w:spacing w:after="0" w:line="240" w:lineRule="auto"/>
              <w:jc w:val="both"/>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Основні положення політики щодо взаємодії зі стейкхолдерами, у тому числі акціонерами/учасниками:</w:t>
            </w:r>
          </w:p>
        </w:tc>
      </w:tr>
      <w:tr w:rsidR="008D4C2F" w:rsidRPr="004229C1" w14:paraId="25063497" w14:textId="77777777" w:rsidTr="00124344">
        <w:trPr>
          <w:trHeight w:val="200"/>
        </w:trPr>
        <w:tc>
          <w:tcPr>
            <w:tcW w:w="300" w:type="dxa"/>
            <w:gridSpan w:val="2"/>
            <w:tcBorders>
              <w:top w:val="single" w:sz="6" w:space="0" w:color="auto"/>
              <w:bottom w:val="single" w:sz="6" w:space="0" w:color="auto"/>
              <w:right w:val="single" w:sz="6" w:space="0" w:color="auto"/>
            </w:tcBorders>
          </w:tcPr>
          <w:p w14:paraId="332BDB53" w14:textId="77777777" w:rsidR="008D4C2F" w:rsidRPr="004229C1" w:rsidRDefault="008D4C2F" w:rsidP="008D4C2F">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9700" w:type="dxa"/>
            <w:gridSpan w:val="5"/>
            <w:tcBorders>
              <w:top w:val="single" w:sz="6" w:space="0" w:color="auto"/>
              <w:left w:val="single" w:sz="6" w:space="0" w:color="auto"/>
              <w:bottom w:val="single" w:sz="6" w:space="0" w:color="auto"/>
            </w:tcBorders>
          </w:tcPr>
          <w:p w14:paraId="05198270" w14:textId="77777777" w:rsidR="008D4C2F" w:rsidRPr="004229C1" w:rsidRDefault="008D4C2F" w:rsidP="008D4C2F">
            <w:pPr>
              <w:widowControl w:val="0"/>
              <w:autoSpaceDE w:val="0"/>
              <w:autoSpaceDN w:val="0"/>
              <w:adjustRightInd w:val="0"/>
              <w:spacing w:after="0" w:line="240" w:lineRule="auto"/>
              <w:jc w:val="both"/>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Полiтика</w:t>
            </w:r>
            <w:proofErr w:type="spellEnd"/>
            <w:r w:rsidRPr="004229C1">
              <w:rPr>
                <w:rFonts w:ascii="Times New Roman" w:hAnsi="Times New Roman" w:cs="Times New Roman"/>
                <w:kern w:val="0"/>
                <w:sz w:val="22"/>
                <w:szCs w:val="22"/>
                <w:lang w:val="uk-UA"/>
              </w:rPr>
              <w:t xml:space="preserve"> щодо </w:t>
            </w:r>
            <w:proofErr w:type="spellStart"/>
            <w:r w:rsidRPr="004229C1">
              <w:rPr>
                <w:rFonts w:ascii="Times New Roman" w:hAnsi="Times New Roman" w:cs="Times New Roman"/>
                <w:kern w:val="0"/>
                <w:sz w:val="22"/>
                <w:szCs w:val="22"/>
                <w:lang w:val="uk-UA"/>
              </w:rPr>
              <w:t>взаємодiї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стейкхолдерами</w:t>
            </w:r>
            <w:proofErr w:type="spellEnd"/>
            <w:r w:rsidRPr="004229C1">
              <w:rPr>
                <w:rFonts w:ascii="Times New Roman" w:hAnsi="Times New Roman" w:cs="Times New Roman"/>
                <w:kern w:val="0"/>
                <w:sz w:val="22"/>
                <w:szCs w:val="22"/>
                <w:lang w:val="uk-UA"/>
              </w:rPr>
              <w:t xml:space="preserve">, у тому </w:t>
            </w:r>
            <w:proofErr w:type="spellStart"/>
            <w:r w:rsidRPr="004229C1">
              <w:rPr>
                <w:rFonts w:ascii="Times New Roman" w:hAnsi="Times New Roman" w:cs="Times New Roman"/>
                <w:kern w:val="0"/>
                <w:sz w:val="22"/>
                <w:szCs w:val="22"/>
                <w:lang w:val="uk-UA"/>
              </w:rPr>
              <w:t>числi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акцiонерами</w:t>
            </w:r>
            <w:proofErr w:type="spellEnd"/>
            <w:r w:rsidRPr="004229C1">
              <w:rPr>
                <w:rFonts w:ascii="Times New Roman" w:hAnsi="Times New Roman" w:cs="Times New Roman"/>
                <w:kern w:val="0"/>
                <w:sz w:val="22"/>
                <w:szCs w:val="22"/>
                <w:lang w:val="uk-UA"/>
              </w:rPr>
              <w:t xml:space="preserve">/ учасниками в Банку </w:t>
            </w:r>
            <w:proofErr w:type="spellStart"/>
            <w:r w:rsidRPr="004229C1">
              <w:rPr>
                <w:rFonts w:ascii="Times New Roman" w:hAnsi="Times New Roman" w:cs="Times New Roman"/>
                <w:kern w:val="0"/>
                <w:sz w:val="22"/>
                <w:szCs w:val="22"/>
                <w:lang w:val="uk-UA"/>
              </w:rPr>
              <w:t>вiдсутня</w:t>
            </w:r>
            <w:proofErr w:type="spellEnd"/>
            <w:r w:rsidRPr="004229C1">
              <w:rPr>
                <w:rFonts w:ascii="Times New Roman" w:hAnsi="Times New Roman" w:cs="Times New Roman"/>
                <w:kern w:val="0"/>
                <w:sz w:val="22"/>
                <w:szCs w:val="22"/>
                <w:lang w:val="uk-UA"/>
              </w:rPr>
              <w:t xml:space="preserve">. Банк дотримується загальних </w:t>
            </w:r>
            <w:proofErr w:type="spellStart"/>
            <w:r w:rsidRPr="004229C1">
              <w:rPr>
                <w:rFonts w:ascii="Times New Roman" w:hAnsi="Times New Roman" w:cs="Times New Roman"/>
                <w:kern w:val="0"/>
                <w:sz w:val="22"/>
                <w:szCs w:val="22"/>
                <w:lang w:val="uk-UA"/>
              </w:rPr>
              <w:t>принципiв</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взаємодiї</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зi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стейкхолдерами</w:t>
            </w:r>
            <w:proofErr w:type="spellEnd"/>
            <w:r w:rsidRPr="004229C1">
              <w:rPr>
                <w:rFonts w:ascii="Times New Roman" w:hAnsi="Times New Roman" w:cs="Times New Roman"/>
                <w:kern w:val="0"/>
                <w:sz w:val="22"/>
                <w:szCs w:val="22"/>
                <w:lang w:val="uk-UA"/>
              </w:rPr>
              <w:t xml:space="preserve">, використовуючи </w:t>
            </w:r>
            <w:proofErr w:type="spellStart"/>
            <w:r w:rsidRPr="004229C1">
              <w:rPr>
                <w:rFonts w:ascii="Times New Roman" w:hAnsi="Times New Roman" w:cs="Times New Roman"/>
                <w:kern w:val="0"/>
                <w:sz w:val="22"/>
                <w:szCs w:val="22"/>
                <w:lang w:val="uk-UA"/>
              </w:rPr>
              <w:t>найкращi</w:t>
            </w:r>
            <w:proofErr w:type="spellEnd"/>
            <w:r w:rsidRPr="004229C1">
              <w:rPr>
                <w:rFonts w:ascii="Times New Roman" w:hAnsi="Times New Roman" w:cs="Times New Roman"/>
                <w:kern w:val="0"/>
                <w:sz w:val="22"/>
                <w:szCs w:val="22"/>
                <w:lang w:val="uk-UA"/>
              </w:rPr>
              <w:t xml:space="preserve"> </w:t>
            </w:r>
            <w:proofErr w:type="spellStart"/>
            <w:r w:rsidRPr="004229C1">
              <w:rPr>
                <w:rFonts w:ascii="Times New Roman" w:hAnsi="Times New Roman" w:cs="Times New Roman"/>
                <w:kern w:val="0"/>
                <w:sz w:val="22"/>
                <w:szCs w:val="22"/>
                <w:lang w:val="uk-UA"/>
              </w:rPr>
              <w:t>свiтовi</w:t>
            </w:r>
            <w:proofErr w:type="spellEnd"/>
            <w:r w:rsidRPr="004229C1">
              <w:rPr>
                <w:rFonts w:ascii="Times New Roman" w:hAnsi="Times New Roman" w:cs="Times New Roman"/>
                <w:kern w:val="0"/>
                <w:sz w:val="22"/>
                <w:szCs w:val="22"/>
                <w:lang w:val="uk-UA"/>
              </w:rPr>
              <w:t xml:space="preserve"> практики. </w:t>
            </w:r>
          </w:p>
          <w:p w14:paraId="3EADB5DD"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АТ "ПРАВЕКС БАНК" реалізує відкриту та прозору політику взаємодії зі стейкхолдерами, спрямовану на підтримку довгострокових партнерських відносин і забезпечення сталого розвитку. Основні принципи взаємодії включають:</w:t>
            </w:r>
          </w:p>
          <w:p w14:paraId="2926BB73"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i/>
                <w:iCs/>
                <w:sz w:val="22"/>
                <w:szCs w:val="22"/>
                <w:u w:val="single"/>
                <w:lang w:val="uk-UA"/>
              </w:rPr>
            </w:pPr>
            <w:r w:rsidRPr="004229C1">
              <w:rPr>
                <w:rFonts w:ascii="Times New Roman" w:eastAsia="Calibri" w:hAnsi="Times New Roman" w:cs="Times New Roman"/>
                <w:i/>
                <w:iCs/>
                <w:sz w:val="22"/>
                <w:szCs w:val="22"/>
                <w:u w:val="single"/>
                <w:lang w:val="uk-UA"/>
              </w:rPr>
              <w:t>1. Прозорість та відкритість</w:t>
            </w:r>
          </w:p>
          <w:p w14:paraId="4DF1EE4A" w14:textId="77777777" w:rsidR="008D4C2F" w:rsidRPr="004229C1" w:rsidRDefault="008D4C2F" w:rsidP="008D4C2F">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Регулярне інформування стейкхолдерів про фінансові результати, стратегічні ініціативи та ключові рішення.</w:t>
            </w:r>
          </w:p>
          <w:p w14:paraId="554F599C" w14:textId="77777777" w:rsidR="008D4C2F" w:rsidRPr="004229C1" w:rsidRDefault="008D4C2F" w:rsidP="008D4C2F">
            <w:pPr>
              <w:pStyle w:val="ListParagraph"/>
              <w:numPr>
                <w:ilvl w:val="0"/>
                <w:numId w:val="36"/>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Відповідність принципам корпоративного управління та міжнародним стандартам розкриття інформації.</w:t>
            </w:r>
          </w:p>
          <w:p w14:paraId="602D8F82"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i/>
                <w:iCs/>
                <w:sz w:val="22"/>
                <w:szCs w:val="22"/>
                <w:u w:val="single"/>
                <w:lang w:val="uk-UA"/>
              </w:rPr>
            </w:pPr>
            <w:r w:rsidRPr="004229C1">
              <w:rPr>
                <w:rFonts w:ascii="Times New Roman" w:eastAsia="Calibri" w:hAnsi="Times New Roman" w:cs="Times New Roman"/>
                <w:i/>
                <w:iCs/>
                <w:sz w:val="22"/>
                <w:szCs w:val="22"/>
                <w:u w:val="single"/>
                <w:lang w:val="uk-UA"/>
              </w:rPr>
              <w:t>2. Діалог та партнерство</w:t>
            </w:r>
          </w:p>
          <w:p w14:paraId="4EE76643" w14:textId="77777777" w:rsidR="008D4C2F" w:rsidRPr="004229C1" w:rsidRDefault="008D4C2F" w:rsidP="008D4C2F">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Активна взаємодія з клієнтами, інвесторами, співробітниками, партнерами та громадами з метою врахування їхніх інтересів.</w:t>
            </w:r>
          </w:p>
          <w:p w14:paraId="1E4AF1BB" w14:textId="77777777" w:rsidR="008D4C2F" w:rsidRPr="004229C1" w:rsidRDefault="008D4C2F" w:rsidP="008D4C2F">
            <w:pPr>
              <w:pStyle w:val="ListParagraph"/>
              <w:numPr>
                <w:ilvl w:val="0"/>
                <w:numId w:val="37"/>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Проведення зустрічей, консультацій та обговорень із ключовими стейкхолдерами для ефективного прийняття рішень.</w:t>
            </w:r>
          </w:p>
          <w:p w14:paraId="3C286129"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i/>
                <w:iCs/>
                <w:sz w:val="22"/>
                <w:szCs w:val="22"/>
                <w:u w:val="single"/>
                <w:lang w:val="uk-UA"/>
              </w:rPr>
            </w:pPr>
            <w:r w:rsidRPr="004229C1">
              <w:rPr>
                <w:rFonts w:ascii="Times New Roman" w:eastAsia="Calibri" w:hAnsi="Times New Roman" w:cs="Times New Roman"/>
                <w:i/>
                <w:iCs/>
                <w:sz w:val="22"/>
                <w:szCs w:val="22"/>
                <w:u w:val="single"/>
                <w:lang w:val="uk-UA"/>
              </w:rPr>
              <w:t>3. Відповідальність перед акціонерами</w:t>
            </w:r>
          </w:p>
          <w:p w14:paraId="74242DA5" w14:textId="77777777" w:rsidR="008D4C2F" w:rsidRPr="004229C1" w:rsidRDefault="008D4C2F" w:rsidP="008D4C2F">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Забезпечення прибутковості та фінансової стабільності банку.</w:t>
            </w:r>
          </w:p>
          <w:p w14:paraId="2AF80549" w14:textId="77777777" w:rsidR="008D4C2F" w:rsidRPr="004229C1" w:rsidRDefault="008D4C2F" w:rsidP="008D4C2F">
            <w:pPr>
              <w:pStyle w:val="ListParagraph"/>
              <w:numPr>
                <w:ilvl w:val="0"/>
                <w:numId w:val="38"/>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Дотримання прав акціонерів, рівний доступ до корпоративної інформації та забезпечення ефективного механізму зворотного зв’язку.</w:t>
            </w:r>
          </w:p>
          <w:p w14:paraId="07EF7C31"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i/>
                <w:iCs/>
                <w:sz w:val="22"/>
                <w:szCs w:val="22"/>
                <w:u w:val="single"/>
                <w:lang w:val="uk-UA"/>
              </w:rPr>
            </w:pPr>
            <w:r w:rsidRPr="004229C1">
              <w:rPr>
                <w:rFonts w:ascii="Times New Roman" w:eastAsia="Calibri" w:hAnsi="Times New Roman" w:cs="Times New Roman"/>
                <w:i/>
                <w:iCs/>
                <w:sz w:val="22"/>
                <w:szCs w:val="22"/>
                <w:u w:val="single"/>
                <w:lang w:val="uk-UA"/>
              </w:rPr>
              <w:t>4. Етичні стандарти та соціальна відповідальність</w:t>
            </w:r>
          </w:p>
          <w:p w14:paraId="097C1FE6" w14:textId="77777777" w:rsidR="008D4C2F" w:rsidRPr="004229C1" w:rsidRDefault="008D4C2F" w:rsidP="008D4C2F">
            <w:pPr>
              <w:pStyle w:val="ListParagraph"/>
              <w:numPr>
                <w:ilvl w:val="0"/>
                <w:numId w:val="39"/>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Дотримання антикорупційних норм, етичних принципів ведення бізнесу та принципів ESG.</w:t>
            </w:r>
          </w:p>
          <w:p w14:paraId="79E06197" w14:textId="77777777" w:rsidR="008D4C2F" w:rsidRPr="004229C1" w:rsidRDefault="008D4C2F" w:rsidP="008D4C2F">
            <w:pPr>
              <w:pStyle w:val="ListParagraph"/>
              <w:numPr>
                <w:ilvl w:val="0"/>
                <w:numId w:val="39"/>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Участь у соціальних ініціативах, спрямованих на розвиток місцевих громад та зменшення екологічного впливу.</w:t>
            </w:r>
          </w:p>
          <w:p w14:paraId="300CD00C"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i/>
                <w:iCs/>
                <w:sz w:val="22"/>
                <w:szCs w:val="22"/>
                <w:u w:val="single"/>
                <w:lang w:val="uk-UA"/>
              </w:rPr>
            </w:pPr>
            <w:r w:rsidRPr="004229C1">
              <w:rPr>
                <w:rFonts w:ascii="Times New Roman" w:eastAsia="Calibri" w:hAnsi="Times New Roman" w:cs="Times New Roman"/>
                <w:i/>
                <w:iCs/>
                <w:sz w:val="22"/>
                <w:szCs w:val="22"/>
                <w:u w:val="single"/>
                <w:lang w:val="uk-UA"/>
              </w:rPr>
              <w:t>5. Дотримання законодавчих та регуляторних вимог</w:t>
            </w:r>
          </w:p>
          <w:p w14:paraId="76962F4D" w14:textId="77777777" w:rsidR="008D4C2F" w:rsidRPr="004229C1" w:rsidRDefault="008D4C2F" w:rsidP="008D4C2F">
            <w:pPr>
              <w:pStyle w:val="ListParagraph"/>
              <w:numPr>
                <w:ilvl w:val="0"/>
                <w:numId w:val="40"/>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Виконання всіх норм українського та міжнародного законодавства у сфері фінансів, корпоративного управління та екологічної відповідальності.</w:t>
            </w:r>
          </w:p>
          <w:p w14:paraId="7AA1A018" w14:textId="77777777" w:rsidR="008D4C2F" w:rsidRPr="004229C1" w:rsidRDefault="008D4C2F" w:rsidP="008D4C2F">
            <w:pPr>
              <w:pStyle w:val="ListParagraph"/>
              <w:numPr>
                <w:ilvl w:val="0"/>
                <w:numId w:val="40"/>
              </w:numPr>
              <w:autoSpaceDE w:val="0"/>
              <w:autoSpaceDN w:val="0"/>
              <w:adjustRightInd w:val="0"/>
              <w:spacing w:after="0" w:line="240" w:lineRule="auto"/>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Співпраця з регуляторами та державними органами для забезпечення стабільності банківської системи.</w:t>
            </w:r>
          </w:p>
          <w:p w14:paraId="2587B421" w14:textId="77777777" w:rsidR="008D4C2F" w:rsidRPr="004229C1" w:rsidRDefault="008D4C2F" w:rsidP="008D4C2F">
            <w:pPr>
              <w:autoSpaceDE w:val="0"/>
              <w:autoSpaceDN w:val="0"/>
              <w:adjustRightInd w:val="0"/>
              <w:spacing w:line="240" w:lineRule="auto"/>
              <w:ind w:firstLine="567"/>
              <w:jc w:val="both"/>
              <w:rPr>
                <w:rFonts w:ascii="Times New Roman" w:eastAsia="Calibri" w:hAnsi="Times New Roman" w:cs="Times New Roman"/>
                <w:b/>
                <w:sz w:val="22"/>
                <w:szCs w:val="22"/>
                <w:lang w:val="uk-UA"/>
              </w:rPr>
            </w:pPr>
            <w:r w:rsidRPr="004229C1">
              <w:rPr>
                <w:rFonts w:ascii="Times New Roman" w:eastAsia="Calibri" w:hAnsi="Times New Roman" w:cs="Times New Roman"/>
                <w:sz w:val="22"/>
                <w:szCs w:val="22"/>
                <w:lang w:val="uk-UA"/>
              </w:rPr>
              <w:t>Така політика сприяє підвищенню довіри до банку, зміцненню його ринкових позицій і досягненню стратегічних цілей.</w:t>
            </w:r>
          </w:p>
          <w:p w14:paraId="3489C98F" w14:textId="658F899B" w:rsidR="008D4C2F" w:rsidRPr="004229C1" w:rsidRDefault="008D4C2F" w:rsidP="008D4C2F">
            <w:pPr>
              <w:widowControl w:val="0"/>
              <w:autoSpaceDE w:val="0"/>
              <w:autoSpaceDN w:val="0"/>
              <w:adjustRightInd w:val="0"/>
              <w:spacing w:after="0" w:line="240" w:lineRule="auto"/>
              <w:jc w:val="both"/>
              <w:rPr>
                <w:rFonts w:ascii="Times New Roman" w:hAnsi="Times New Roman" w:cs="Times New Roman"/>
                <w:kern w:val="0"/>
                <w:sz w:val="22"/>
                <w:szCs w:val="22"/>
                <w:lang w:val="uk-UA"/>
              </w:rPr>
            </w:pPr>
          </w:p>
        </w:tc>
      </w:tr>
    </w:tbl>
    <w:p w14:paraId="7A1C3CD3"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71E64DD7" w14:textId="48655D8D" w:rsidR="00CA3611" w:rsidRPr="004229C1" w:rsidRDefault="00CA3611" w:rsidP="00124344">
      <w:pPr>
        <w:pStyle w:val="Heading2"/>
        <w:rPr>
          <w:rFonts w:cs="Times New Roman"/>
          <w:lang w:val="uk-UA"/>
        </w:rPr>
      </w:pPr>
      <w:bookmarkStart w:id="25" w:name="_Toc200057399"/>
      <w:r w:rsidRPr="004229C1">
        <w:rPr>
          <w:rFonts w:cs="Times New Roman"/>
          <w:lang w:val="uk-UA"/>
        </w:rPr>
        <w:t xml:space="preserve">3. </w:t>
      </w:r>
      <w:r w:rsidR="00867E02" w:rsidRPr="004229C1">
        <w:rPr>
          <w:rFonts w:cs="Times New Roman"/>
          <w:lang w:val="uk-UA"/>
        </w:rPr>
        <w:t>Д</w:t>
      </w:r>
      <w:r w:rsidRPr="004229C1">
        <w:rPr>
          <w:rFonts w:cs="Times New Roman"/>
          <w:lang w:val="uk-UA"/>
        </w:rPr>
        <w:t>ивідендна політика</w:t>
      </w:r>
      <w:bookmarkEnd w:id="25"/>
    </w:p>
    <w:tbl>
      <w:tblPr>
        <w:tblW w:w="4746" w:type="pct"/>
        <w:tblInd w:w="137" w:type="dxa"/>
        <w:tblCellMar>
          <w:left w:w="0" w:type="dxa"/>
          <w:right w:w="0" w:type="dxa"/>
        </w:tblCellMar>
        <w:tblLook w:val="0000" w:firstRow="0" w:lastRow="0" w:firstColumn="0" w:lastColumn="0" w:noHBand="0" w:noVBand="0"/>
      </w:tblPr>
      <w:tblGrid>
        <w:gridCol w:w="4251"/>
        <w:gridCol w:w="5673"/>
      </w:tblGrid>
      <w:tr w:rsidR="00CA3611" w:rsidRPr="004229C1" w14:paraId="0FFB672C" w14:textId="77777777" w:rsidTr="00124344">
        <w:trPr>
          <w:trHeight w:val="60"/>
        </w:trPr>
        <w:tc>
          <w:tcPr>
            <w:tcW w:w="21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4537FA" w14:textId="77777777"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Наявність затвердженого внутрішнього документу, який визначає дивідендну політику</w:t>
            </w:r>
          </w:p>
        </w:tc>
        <w:tc>
          <w:tcPr>
            <w:tcW w:w="28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8149DD" w14:textId="3AC3354F"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Так</w:t>
            </w:r>
          </w:p>
        </w:tc>
      </w:tr>
      <w:tr w:rsidR="00CA3611" w:rsidRPr="004229C1" w14:paraId="7ADFE1D0" w14:textId="77777777" w:rsidTr="00124344">
        <w:trPr>
          <w:trHeight w:val="60"/>
        </w:trPr>
        <w:tc>
          <w:tcPr>
            <w:tcW w:w="21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B1CC31" w14:textId="77777777"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Назва внутрішнього документу, який визначає дивідендну політику</w:t>
            </w:r>
          </w:p>
        </w:tc>
        <w:tc>
          <w:tcPr>
            <w:tcW w:w="28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F33909" w14:textId="541CA6AA" w:rsidR="00CA3611" w:rsidRPr="004229C1" w:rsidRDefault="00CA3611" w:rsidP="00FA3E07">
            <w:pPr>
              <w:pStyle w:val="a"/>
              <w:suppressAutoHyphens/>
              <w:spacing w:line="240" w:lineRule="auto"/>
              <w:textAlignment w:val="auto"/>
              <w:rPr>
                <w:color w:val="auto"/>
                <w:sz w:val="22"/>
                <w:szCs w:val="22"/>
                <w:lang w:val="uk-UA"/>
              </w:rPr>
            </w:pPr>
            <w:r w:rsidRPr="004229C1">
              <w:rPr>
                <w:color w:val="auto"/>
                <w:sz w:val="22"/>
                <w:szCs w:val="22"/>
                <w:lang w:val="uk-UA"/>
              </w:rPr>
              <w:t>Дивідендна політика АТ «ПРАВЕКС БАНК»</w:t>
            </w:r>
          </w:p>
        </w:tc>
      </w:tr>
      <w:tr w:rsidR="00CA3611" w:rsidRPr="004229C1" w14:paraId="33F212EF" w14:textId="77777777" w:rsidTr="00124344">
        <w:trPr>
          <w:trHeight w:val="60"/>
        </w:trPr>
        <w:tc>
          <w:tcPr>
            <w:tcW w:w="21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E6D6B4" w14:textId="77777777"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Назва органу, який прийняв рішення про затвердження внутрішнього документу, який визначає дивідендну політику</w:t>
            </w:r>
          </w:p>
        </w:tc>
        <w:tc>
          <w:tcPr>
            <w:tcW w:w="28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C7B832" w14:textId="0ED0E2F8" w:rsidR="00CA3611" w:rsidRPr="004229C1" w:rsidRDefault="00CA3611" w:rsidP="00FA3E07">
            <w:pPr>
              <w:pStyle w:val="a"/>
              <w:suppressAutoHyphens/>
              <w:spacing w:line="240" w:lineRule="auto"/>
              <w:textAlignment w:val="auto"/>
              <w:rPr>
                <w:color w:val="auto"/>
                <w:sz w:val="22"/>
                <w:szCs w:val="22"/>
                <w:lang w:val="uk-UA"/>
              </w:rPr>
            </w:pPr>
            <w:r w:rsidRPr="004229C1">
              <w:rPr>
                <w:color w:val="auto"/>
                <w:sz w:val="22"/>
                <w:szCs w:val="22"/>
                <w:lang w:val="uk-UA"/>
              </w:rPr>
              <w:t>Наглядова Рада</w:t>
            </w:r>
          </w:p>
        </w:tc>
      </w:tr>
      <w:tr w:rsidR="00CA3611" w:rsidRPr="004229C1" w14:paraId="2C9264F3" w14:textId="77777777" w:rsidTr="00124344">
        <w:trPr>
          <w:trHeight w:val="60"/>
        </w:trPr>
        <w:tc>
          <w:tcPr>
            <w:tcW w:w="21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CD1A36" w14:textId="77777777"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Дата та номер рішення про затвердження внутрішнього документу, який визначає дивідендну політику</w:t>
            </w:r>
          </w:p>
        </w:tc>
        <w:tc>
          <w:tcPr>
            <w:tcW w:w="28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737D16" w14:textId="534D42CC" w:rsidR="00CA3611" w:rsidRPr="004229C1" w:rsidRDefault="00CA3611" w:rsidP="00FA3E07">
            <w:pPr>
              <w:pStyle w:val="a"/>
              <w:suppressAutoHyphens/>
              <w:spacing w:line="240" w:lineRule="auto"/>
              <w:textAlignment w:val="auto"/>
              <w:rPr>
                <w:color w:val="auto"/>
                <w:sz w:val="22"/>
                <w:szCs w:val="22"/>
                <w:lang w:val="uk-UA"/>
              </w:rPr>
            </w:pPr>
            <w:r w:rsidRPr="004229C1">
              <w:rPr>
                <w:color w:val="auto"/>
                <w:sz w:val="22"/>
                <w:szCs w:val="22"/>
                <w:lang w:val="uk-UA"/>
              </w:rPr>
              <w:t>Протокол №13_25 від 28.05.2024, питання 1.3 порядку денного</w:t>
            </w:r>
          </w:p>
        </w:tc>
      </w:tr>
      <w:tr w:rsidR="00CA3611" w:rsidRPr="004229C1" w14:paraId="368C4C6A" w14:textId="77777777" w:rsidTr="00124344">
        <w:trPr>
          <w:trHeight w:val="60"/>
        </w:trPr>
        <w:tc>
          <w:tcPr>
            <w:tcW w:w="21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377B59" w14:textId="77777777" w:rsidR="00CA3611" w:rsidRPr="004229C1" w:rsidRDefault="00CA3611" w:rsidP="00FA3E07">
            <w:pPr>
              <w:pStyle w:val="TableTABL"/>
              <w:rPr>
                <w:rFonts w:ascii="Times New Roman" w:hAnsi="Times New Roman" w:cs="Times New Roman"/>
                <w:spacing w:val="0"/>
                <w:sz w:val="22"/>
                <w:szCs w:val="22"/>
              </w:rPr>
            </w:pPr>
            <w:r w:rsidRPr="004229C1">
              <w:rPr>
                <w:rFonts w:ascii="Times New Roman" w:hAnsi="Times New Roman" w:cs="Times New Roman"/>
                <w:spacing w:val="0"/>
                <w:sz w:val="22"/>
                <w:szCs w:val="22"/>
              </w:rPr>
              <w:t>Опис ключових положень внутрішнього документу, який визначає дивідендну політику</w:t>
            </w:r>
          </w:p>
        </w:tc>
        <w:tc>
          <w:tcPr>
            <w:tcW w:w="28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C6973E" w14:textId="77777777" w:rsidR="00CA3611" w:rsidRPr="004229C1" w:rsidRDefault="00CA3611" w:rsidP="00CA3611">
            <w:pPr>
              <w:pStyle w:val="a"/>
              <w:suppressAutoHyphens/>
              <w:spacing w:line="240" w:lineRule="auto"/>
              <w:rPr>
                <w:color w:val="auto"/>
                <w:sz w:val="22"/>
                <w:szCs w:val="22"/>
                <w:lang w:val="uk-UA"/>
              </w:rPr>
            </w:pPr>
            <w:r w:rsidRPr="004229C1">
              <w:rPr>
                <w:color w:val="auto"/>
                <w:sz w:val="22"/>
                <w:szCs w:val="22"/>
                <w:lang w:val="uk-UA"/>
              </w:rPr>
              <w:t>Політика визначає процес прийняття рішень щодо виплати дивідендів та опис ключових елементів процесу виплати дивідендів. Визначає наміри розподілу прогнозної суми чистого прибутку Банку на відповідний рік з урахуванням стратегії,  бізнес-плану та програми капіталізації/реструктуризації Банку, а також визначає показники:</w:t>
            </w:r>
          </w:p>
          <w:p w14:paraId="6EA4F505" w14:textId="77777777" w:rsidR="00CA3611" w:rsidRPr="004229C1" w:rsidRDefault="00CA3611" w:rsidP="00CA3611">
            <w:pPr>
              <w:pStyle w:val="a"/>
              <w:suppressAutoHyphens/>
              <w:spacing w:line="240" w:lineRule="auto"/>
              <w:rPr>
                <w:color w:val="auto"/>
                <w:sz w:val="22"/>
                <w:szCs w:val="22"/>
                <w:lang w:val="uk-UA"/>
              </w:rPr>
            </w:pPr>
            <w:r w:rsidRPr="004229C1">
              <w:rPr>
                <w:color w:val="auto"/>
                <w:sz w:val="22"/>
                <w:szCs w:val="22"/>
                <w:lang w:val="uk-UA"/>
              </w:rPr>
              <w:t>-</w:t>
            </w:r>
            <w:r w:rsidRPr="004229C1">
              <w:rPr>
                <w:color w:val="auto"/>
                <w:sz w:val="22"/>
                <w:szCs w:val="22"/>
                <w:lang w:val="uk-UA"/>
              </w:rPr>
              <w:tab/>
              <w:t>прогнозна сума чистого прибутку на прогнозний рік;</w:t>
            </w:r>
          </w:p>
          <w:p w14:paraId="4958B64E" w14:textId="77777777" w:rsidR="00CA3611" w:rsidRPr="004229C1" w:rsidRDefault="00CA3611" w:rsidP="00CA3611">
            <w:pPr>
              <w:pStyle w:val="a"/>
              <w:suppressAutoHyphens/>
              <w:spacing w:line="240" w:lineRule="auto"/>
              <w:rPr>
                <w:color w:val="auto"/>
                <w:sz w:val="22"/>
                <w:szCs w:val="22"/>
                <w:lang w:val="uk-UA"/>
              </w:rPr>
            </w:pPr>
            <w:r w:rsidRPr="004229C1">
              <w:rPr>
                <w:color w:val="auto"/>
                <w:sz w:val="22"/>
                <w:szCs w:val="22"/>
                <w:lang w:val="uk-UA"/>
              </w:rPr>
              <w:t>-</w:t>
            </w:r>
            <w:r w:rsidRPr="004229C1">
              <w:rPr>
                <w:color w:val="auto"/>
                <w:sz w:val="22"/>
                <w:szCs w:val="22"/>
                <w:lang w:val="uk-UA"/>
              </w:rPr>
              <w:tab/>
              <w:t>прогнозні суми/відсотки чистого прибутку, що планується спрямувати на виплату дивідендів та/або залишити в капіталі Банку у вигляді нерозподілених прибутків минулих років чи фондів/резервів Банку, створених за рахунок прибутку;</w:t>
            </w:r>
          </w:p>
          <w:p w14:paraId="6B56A0FB" w14:textId="77777777" w:rsidR="00CA3611" w:rsidRPr="004229C1" w:rsidRDefault="00CA3611" w:rsidP="00CA3611">
            <w:pPr>
              <w:pStyle w:val="a"/>
              <w:suppressAutoHyphens/>
              <w:spacing w:line="240" w:lineRule="auto"/>
              <w:rPr>
                <w:color w:val="auto"/>
                <w:sz w:val="22"/>
                <w:szCs w:val="22"/>
                <w:lang w:val="uk-UA"/>
              </w:rPr>
            </w:pPr>
            <w:r w:rsidRPr="004229C1">
              <w:rPr>
                <w:color w:val="auto"/>
                <w:sz w:val="22"/>
                <w:szCs w:val="22"/>
                <w:lang w:val="uk-UA"/>
              </w:rPr>
              <w:t>-</w:t>
            </w:r>
            <w:r w:rsidRPr="004229C1">
              <w:rPr>
                <w:color w:val="auto"/>
                <w:sz w:val="22"/>
                <w:szCs w:val="22"/>
                <w:lang w:val="uk-UA"/>
              </w:rPr>
              <w:tab/>
              <w:t>прогнозна сума/відсоток нерозподілених прибутків минулих років, що планується спрямувати на виплату дивідендів.</w:t>
            </w:r>
          </w:p>
          <w:p w14:paraId="7683BA3A" w14:textId="756AA46F" w:rsidR="00CA3611" w:rsidRPr="004229C1" w:rsidRDefault="00CA3611" w:rsidP="00CA3611">
            <w:pPr>
              <w:pStyle w:val="a"/>
              <w:suppressAutoHyphens/>
              <w:spacing w:line="240" w:lineRule="auto"/>
              <w:textAlignment w:val="auto"/>
              <w:rPr>
                <w:color w:val="auto"/>
                <w:sz w:val="22"/>
                <w:szCs w:val="22"/>
                <w:lang w:val="uk-UA"/>
              </w:rPr>
            </w:pPr>
            <w:r w:rsidRPr="004229C1">
              <w:rPr>
                <w:color w:val="auto"/>
                <w:sz w:val="22"/>
                <w:szCs w:val="22"/>
                <w:lang w:val="uk-UA"/>
              </w:rPr>
              <w:t>Політика розроблена з метою сприяння реалізації прав акціонерів на отримання доходу від володіння акціями, встановлення чіткої та прозорої системи визначення та сплати дивідендів за акціями Банку, а також впровадження заходів, спрямованих на недопущення порушень прав кредиторів та вкладників Банку.</w:t>
            </w:r>
          </w:p>
        </w:tc>
      </w:tr>
    </w:tbl>
    <w:p w14:paraId="28565ECB"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lang w:val="uk-UA"/>
        </w:rPr>
        <w:sectPr w:rsidR="007469BF" w:rsidRPr="004229C1">
          <w:pgSz w:w="11905" w:h="16837" w:orient="landscape"/>
          <w:pgMar w:top="570" w:right="720" w:bottom="570" w:left="720" w:header="720" w:footer="720" w:gutter="0"/>
          <w:cols w:space="720"/>
          <w:noEndnote/>
        </w:sectPr>
      </w:pPr>
    </w:p>
    <w:p w14:paraId="3B425CAB" w14:textId="77777777" w:rsidR="007469BF" w:rsidRPr="004229C1" w:rsidRDefault="000B08A7" w:rsidP="00394FCC">
      <w:pPr>
        <w:pStyle w:val="Heading2"/>
        <w:rPr>
          <w:rFonts w:cs="Times New Roman"/>
          <w:lang w:val="uk-UA"/>
        </w:rPr>
      </w:pPr>
      <w:bookmarkStart w:id="26" w:name="_Toc200057400"/>
      <w:r w:rsidRPr="004229C1">
        <w:rPr>
          <w:rFonts w:cs="Times New Roman"/>
          <w:lang w:val="uk-UA"/>
        </w:rPr>
        <w:t xml:space="preserve">5. Перелік посилань на внутрішні документи особи, що розміщені на </w:t>
      </w:r>
      <w:proofErr w:type="spellStart"/>
      <w:r w:rsidRPr="004229C1">
        <w:rPr>
          <w:rFonts w:cs="Times New Roman"/>
          <w:lang w:val="uk-UA"/>
        </w:rPr>
        <w:t>вебсайті</w:t>
      </w:r>
      <w:proofErr w:type="spellEnd"/>
      <w:r w:rsidRPr="004229C1">
        <w:rPr>
          <w:rFonts w:cs="Times New Roman"/>
          <w:lang w:val="uk-UA"/>
        </w:rPr>
        <w:t xml:space="preserve"> особи</w:t>
      </w:r>
      <w:bookmarkEnd w:id="26"/>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200"/>
        <w:gridCol w:w="3200"/>
        <w:gridCol w:w="3100"/>
      </w:tblGrid>
      <w:tr w:rsidR="007469BF" w:rsidRPr="004229C1" w14:paraId="056216F1" w14:textId="77777777">
        <w:trPr>
          <w:trHeight w:val="200"/>
        </w:trPr>
        <w:tc>
          <w:tcPr>
            <w:tcW w:w="500" w:type="dxa"/>
            <w:tcBorders>
              <w:top w:val="single" w:sz="6" w:space="0" w:color="auto"/>
              <w:bottom w:val="single" w:sz="6" w:space="0" w:color="auto"/>
              <w:right w:val="single" w:sz="6" w:space="0" w:color="auto"/>
            </w:tcBorders>
            <w:vAlign w:val="center"/>
          </w:tcPr>
          <w:p w14:paraId="7BE9E43C"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з/п</w:t>
            </w:r>
          </w:p>
        </w:tc>
        <w:tc>
          <w:tcPr>
            <w:tcW w:w="3200" w:type="dxa"/>
            <w:tcBorders>
              <w:top w:val="single" w:sz="6" w:space="0" w:color="auto"/>
              <w:left w:val="single" w:sz="6" w:space="0" w:color="auto"/>
              <w:bottom w:val="single" w:sz="6" w:space="0" w:color="auto"/>
              <w:right w:val="single" w:sz="6" w:space="0" w:color="auto"/>
            </w:tcBorders>
            <w:vAlign w:val="center"/>
          </w:tcPr>
          <w:p w14:paraId="56E5C30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Назва внутрішнього документа</w:t>
            </w:r>
          </w:p>
        </w:tc>
        <w:tc>
          <w:tcPr>
            <w:tcW w:w="3200" w:type="dxa"/>
            <w:tcBorders>
              <w:top w:val="single" w:sz="6" w:space="0" w:color="auto"/>
              <w:left w:val="single" w:sz="6" w:space="0" w:color="auto"/>
              <w:bottom w:val="single" w:sz="6" w:space="0" w:color="auto"/>
              <w:right w:val="single" w:sz="6" w:space="0" w:color="auto"/>
            </w:tcBorders>
            <w:vAlign w:val="center"/>
          </w:tcPr>
          <w:p w14:paraId="4777359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Опис ключових питань, які регулюються внутрішнім документом</w:t>
            </w:r>
          </w:p>
        </w:tc>
        <w:tc>
          <w:tcPr>
            <w:tcW w:w="3100" w:type="dxa"/>
            <w:tcBorders>
              <w:top w:val="single" w:sz="6" w:space="0" w:color="auto"/>
              <w:left w:val="single" w:sz="6" w:space="0" w:color="auto"/>
              <w:bottom w:val="single" w:sz="6" w:space="0" w:color="auto"/>
            </w:tcBorders>
            <w:vAlign w:val="center"/>
          </w:tcPr>
          <w:p w14:paraId="4350949D"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URL-адреса </w:t>
            </w:r>
            <w:proofErr w:type="spellStart"/>
            <w:r w:rsidRPr="004229C1">
              <w:rPr>
                <w:rFonts w:ascii="Times New Roman" w:hAnsi="Times New Roman" w:cs="Times New Roman"/>
                <w:kern w:val="0"/>
                <w:sz w:val="22"/>
                <w:szCs w:val="22"/>
                <w:lang w:val="uk-UA"/>
              </w:rPr>
              <w:t>вебсайту</w:t>
            </w:r>
            <w:proofErr w:type="spellEnd"/>
            <w:r w:rsidRPr="004229C1">
              <w:rPr>
                <w:rFonts w:ascii="Times New Roman" w:hAnsi="Times New Roman" w:cs="Times New Roman"/>
                <w:kern w:val="0"/>
                <w:sz w:val="22"/>
                <w:szCs w:val="22"/>
                <w:lang w:val="uk-UA"/>
              </w:rPr>
              <w:t xml:space="preserve"> особи, за якою розміщено внутрішній документ</w:t>
            </w:r>
          </w:p>
        </w:tc>
      </w:tr>
      <w:tr w:rsidR="007469BF" w:rsidRPr="004229C1" w14:paraId="423FFBC8" w14:textId="77777777">
        <w:trPr>
          <w:trHeight w:val="200"/>
        </w:trPr>
        <w:tc>
          <w:tcPr>
            <w:tcW w:w="500" w:type="dxa"/>
            <w:tcBorders>
              <w:top w:val="single" w:sz="6" w:space="0" w:color="auto"/>
              <w:bottom w:val="single" w:sz="6" w:space="0" w:color="auto"/>
              <w:right w:val="single" w:sz="6" w:space="0" w:color="auto"/>
            </w:tcBorders>
            <w:vAlign w:val="center"/>
          </w:tcPr>
          <w:p w14:paraId="1F16CF1B"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3200" w:type="dxa"/>
            <w:tcBorders>
              <w:top w:val="single" w:sz="6" w:space="0" w:color="auto"/>
              <w:left w:val="single" w:sz="6" w:space="0" w:color="auto"/>
              <w:bottom w:val="single" w:sz="6" w:space="0" w:color="auto"/>
              <w:right w:val="single" w:sz="6" w:space="0" w:color="auto"/>
            </w:tcBorders>
            <w:vAlign w:val="center"/>
          </w:tcPr>
          <w:p w14:paraId="4913F116"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3200" w:type="dxa"/>
            <w:tcBorders>
              <w:top w:val="single" w:sz="6" w:space="0" w:color="auto"/>
              <w:left w:val="single" w:sz="6" w:space="0" w:color="auto"/>
              <w:bottom w:val="single" w:sz="6" w:space="0" w:color="auto"/>
              <w:right w:val="single" w:sz="6" w:space="0" w:color="auto"/>
            </w:tcBorders>
            <w:vAlign w:val="center"/>
          </w:tcPr>
          <w:p w14:paraId="1D14AE43"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3100" w:type="dxa"/>
            <w:tcBorders>
              <w:top w:val="single" w:sz="6" w:space="0" w:color="auto"/>
              <w:left w:val="single" w:sz="6" w:space="0" w:color="auto"/>
              <w:bottom w:val="single" w:sz="6" w:space="0" w:color="auto"/>
            </w:tcBorders>
            <w:vAlign w:val="center"/>
          </w:tcPr>
          <w:p w14:paraId="3D6E0EF1" w14:textId="77777777" w:rsidR="007469BF" w:rsidRPr="004229C1" w:rsidRDefault="000B08A7">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r>
      <w:tr w:rsidR="00131EB2" w:rsidRPr="004229C1" w14:paraId="0031D2D0" w14:textId="77777777">
        <w:trPr>
          <w:trHeight w:val="200"/>
        </w:trPr>
        <w:tc>
          <w:tcPr>
            <w:tcW w:w="500" w:type="dxa"/>
            <w:tcBorders>
              <w:top w:val="single" w:sz="6" w:space="0" w:color="auto"/>
              <w:bottom w:val="single" w:sz="6" w:space="0" w:color="auto"/>
              <w:right w:val="single" w:sz="6" w:space="0" w:color="auto"/>
            </w:tcBorders>
            <w:vAlign w:val="center"/>
          </w:tcPr>
          <w:p w14:paraId="01F4E4AA" w14:textId="77777777" w:rsidR="00131EB2" w:rsidRPr="004229C1" w:rsidRDefault="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3200" w:type="dxa"/>
            <w:tcBorders>
              <w:top w:val="single" w:sz="6" w:space="0" w:color="auto"/>
              <w:left w:val="single" w:sz="6" w:space="0" w:color="auto"/>
              <w:bottom w:val="single" w:sz="6" w:space="0" w:color="auto"/>
              <w:right w:val="single" w:sz="6" w:space="0" w:color="auto"/>
            </w:tcBorders>
            <w:vAlign w:val="center"/>
          </w:tcPr>
          <w:p w14:paraId="2AF50A60" w14:textId="6254E684" w:rsidR="00131EB2" w:rsidRPr="004229C1" w:rsidRDefault="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Статут Банку </w:t>
            </w:r>
          </w:p>
        </w:tc>
        <w:tc>
          <w:tcPr>
            <w:tcW w:w="3200" w:type="dxa"/>
            <w:tcBorders>
              <w:top w:val="single" w:sz="6" w:space="0" w:color="auto"/>
              <w:left w:val="single" w:sz="6" w:space="0" w:color="auto"/>
              <w:bottom w:val="single" w:sz="6" w:space="0" w:color="auto"/>
              <w:right w:val="single" w:sz="6" w:space="0" w:color="auto"/>
            </w:tcBorders>
            <w:vAlign w:val="center"/>
          </w:tcPr>
          <w:p w14:paraId="3315BAE8" w14:textId="77777777"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визначає порядок створення, </w:t>
            </w:r>
            <w:proofErr w:type="spellStart"/>
            <w:r w:rsidRPr="004229C1">
              <w:rPr>
                <w:rFonts w:ascii="Times New Roman" w:hAnsi="Times New Roman" w:cs="Times New Roman"/>
                <w:kern w:val="0"/>
                <w:sz w:val="22"/>
                <w:szCs w:val="22"/>
                <w:lang w:val="uk-UA"/>
              </w:rPr>
              <w:t>здiйснення</w:t>
            </w:r>
            <w:proofErr w:type="spellEnd"/>
            <w:r w:rsidRPr="004229C1">
              <w:rPr>
                <w:rFonts w:ascii="Times New Roman" w:hAnsi="Times New Roman" w:cs="Times New Roman"/>
                <w:kern w:val="0"/>
                <w:sz w:val="22"/>
                <w:szCs w:val="22"/>
                <w:lang w:val="uk-UA"/>
              </w:rPr>
              <w:t xml:space="preserve"> господарської </w:t>
            </w: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та припинення</w:t>
            </w:r>
          </w:p>
          <w:p w14:paraId="159BDCB2" w14:textId="63B02122"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дiяльностi</w:t>
            </w:r>
            <w:proofErr w:type="spellEnd"/>
            <w:r w:rsidRPr="004229C1">
              <w:rPr>
                <w:rFonts w:ascii="Times New Roman" w:hAnsi="Times New Roman" w:cs="Times New Roman"/>
                <w:kern w:val="0"/>
                <w:sz w:val="22"/>
                <w:szCs w:val="22"/>
                <w:lang w:val="uk-UA"/>
              </w:rPr>
              <w:t xml:space="preserve"> Банку</w:t>
            </w:r>
          </w:p>
        </w:tc>
        <w:tc>
          <w:tcPr>
            <w:tcW w:w="3100" w:type="dxa"/>
            <w:tcBorders>
              <w:top w:val="single" w:sz="6" w:space="0" w:color="auto"/>
              <w:left w:val="single" w:sz="6" w:space="0" w:color="auto"/>
              <w:bottom w:val="single" w:sz="6" w:space="0" w:color="auto"/>
            </w:tcBorders>
            <w:vAlign w:val="center"/>
          </w:tcPr>
          <w:p w14:paraId="176E5EA6" w14:textId="68458BF5" w:rsidR="00131EB2" w:rsidRPr="004229C1" w:rsidRDefault="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36" w:history="1">
              <w:r w:rsidRPr="004229C1">
                <w:rPr>
                  <w:rStyle w:val="Hyperlink"/>
                  <w:rFonts w:ascii="Times New Roman" w:hAnsi="Times New Roman" w:cs="Times New Roman"/>
                  <w:kern w:val="0"/>
                  <w:sz w:val="22"/>
                  <w:szCs w:val="22"/>
                  <w:lang w:val="uk-UA"/>
                </w:rPr>
                <w:t>https://www.pravex.com.ua/storage/files/statut-28_1721999367.pdf</w:t>
              </w:r>
            </w:hyperlink>
            <w:r w:rsidRPr="004229C1">
              <w:rPr>
                <w:rFonts w:ascii="Times New Roman" w:hAnsi="Times New Roman" w:cs="Times New Roman"/>
                <w:kern w:val="0"/>
                <w:sz w:val="22"/>
                <w:szCs w:val="22"/>
                <w:lang w:val="uk-UA"/>
              </w:rPr>
              <w:t xml:space="preserve"> </w:t>
            </w:r>
          </w:p>
        </w:tc>
      </w:tr>
      <w:tr w:rsidR="00131EB2" w:rsidRPr="004229C1" w14:paraId="326F040F" w14:textId="77777777" w:rsidTr="004A3B2B">
        <w:trPr>
          <w:trHeight w:val="200"/>
        </w:trPr>
        <w:tc>
          <w:tcPr>
            <w:tcW w:w="500" w:type="dxa"/>
            <w:tcBorders>
              <w:top w:val="single" w:sz="6" w:space="0" w:color="auto"/>
              <w:bottom w:val="single" w:sz="6" w:space="0" w:color="auto"/>
              <w:right w:val="single" w:sz="6" w:space="0" w:color="auto"/>
            </w:tcBorders>
            <w:vAlign w:val="center"/>
          </w:tcPr>
          <w:p w14:paraId="16C371D6" w14:textId="77777777"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3200" w:type="dxa"/>
            <w:tcBorders>
              <w:top w:val="single" w:sz="6" w:space="0" w:color="auto"/>
              <w:left w:val="single" w:sz="6" w:space="0" w:color="auto"/>
              <w:bottom w:val="single" w:sz="6" w:space="0" w:color="auto"/>
              <w:right w:val="single" w:sz="6" w:space="0" w:color="auto"/>
            </w:tcBorders>
          </w:tcPr>
          <w:p w14:paraId="28378CCD" w14:textId="77777777" w:rsidR="00131EB2" w:rsidRPr="004229C1" w:rsidRDefault="00131EB2" w:rsidP="00131EB2">
            <w:pPr>
              <w:pStyle w:val="TableParagraph"/>
              <w:rPr>
                <w:b/>
                <w:i/>
              </w:rPr>
            </w:pPr>
          </w:p>
          <w:p w14:paraId="62F2D13E" w14:textId="762162EB"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sz w:val="22"/>
                <w:szCs w:val="22"/>
                <w:lang w:val="uk-UA"/>
              </w:rPr>
              <w:t>Положення</w:t>
            </w:r>
            <w:r w:rsidRPr="004229C1">
              <w:rPr>
                <w:rFonts w:ascii="Times New Roman" w:hAnsi="Times New Roman" w:cs="Times New Roman"/>
                <w:spacing w:val="-14"/>
                <w:sz w:val="22"/>
                <w:szCs w:val="22"/>
                <w:lang w:val="uk-UA"/>
              </w:rPr>
              <w:t xml:space="preserve"> </w:t>
            </w:r>
            <w:r w:rsidRPr="004229C1">
              <w:rPr>
                <w:rFonts w:ascii="Times New Roman" w:hAnsi="Times New Roman" w:cs="Times New Roman"/>
                <w:sz w:val="22"/>
                <w:szCs w:val="22"/>
                <w:lang w:val="uk-UA"/>
              </w:rPr>
              <w:t>про</w:t>
            </w:r>
            <w:r w:rsidRPr="004229C1">
              <w:rPr>
                <w:rFonts w:ascii="Times New Roman" w:hAnsi="Times New Roman" w:cs="Times New Roman"/>
                <w:spacing w:val="-14"/>
                <w:sz w:val="22"/>
                <w:szCs w:val="22"/>
                <w:lang w:val="uk-UA"/>
              </w:rPr>
              <w:t xml:space="preserve"> </w:t>
            </w:r>
            <w:r w:rsidRPr="004229C1">
              <w:rPr>
                <w:rFonts w:ascii="Times New Roman" w:hAnsi="Times New Roman" w:cs="Times New Roman"/>
                <w:sz w:val="22"/>
                <w:szCs w:val="22"/>
                <w:lang w:val="uk-UA"/>
              </w:rPr>
              <w:t>Наглядову раду Банку</w:t>
            </w:r>
          </w:p>
        </w:tc>
        <w:tc>
          <w:tcPr>
            <w:tcW w:w="3200" w:type="dxa"/>
            <w:tcBorders>
              <w:top w:val="single" w:sz="6" w:space="0" w:color="auto"/>
              <w:left w:val="single" w:sz="6" w:space="0" w:color="auto"/>
              <w:bottom w:val="single" w:sz="6" w:space="0" w:color="auto"/>
              <w:right w:val="single" w:sz="6" w:space="0" w:color="auto"/>
            </w:tcBorders>
          </w:tcPr>
          <w:p w14:paraId="79DCD864" w14:textId="33EA8E9F" w:rsidR="00131EB2" w:rsidRPr="004229C1" w:rsidRDefault="00131EB2" w:rsidP="00131EB2">
            <w:pPr>
              <w:pStyle w:val="TableParagraph"/>
              <w:ind w:left="306" w:right="289" w:firstLine="1"/>
              <w:jc w:val="center"/>
              <w:rPr>
                <w:rFonts w:eastAsiaTheme="minorEastAsia"/>
                <w:lang w:eastAsia="ru-UA"/>
                <w14:ligatures w14:val="standardContextual"/>
              </w:rPr>
            </w:pPr>
            <w:r w:rsidRPr="004229C1">
              <w:rPr>
                <w:rFonts w:eastAsiaTheme="minorEastAsia"/>
                <w:lang w:eastAsia="ru-UA"/>
                <w14:ligatures w14:val="standardContextual"/>
              </w:rPr>
              <w:t xml:space="preserve">визначає порядок створення, </w:t>
            </w:r>
            <w:proofErr w:type="spellStart"/>
            <w:r w:rsidRPr="004229C1">
              <w:rPr>
                <w:rFonts w:eastAsiaTheme="minorEastAsia"/>
                <w:lang w:eastAsia="ru-UA"/>
                <w14:ligatures w14:val="standardContextual"/>
              </w:rPr>
              <w:t>дiяльностi</w:t>
            </w:r>
            <w:proofErr w:type="spellEnd"/>
            <w:r w:rsidRPr="004229C1">
              <w:rPr>
                <w:rFonts w:eastAsiaTheme="minorEastAsia"/>
                <w:lang w:eastAsia="ru-UA"/>
                <w14:ligatures w14:val="standardContextual"/>
              </w:rPr>
              <w:t xml:space="preserve"> та повноваження</w:t>
            </w:r>
          </w:p>
          <w:p w14:paraId="185221B3" w14:textId="28665A75"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Наглядової ради Банку</w:t>
            </w:r>
          </w:p>
        </w:tc>
        <w:tc>
          <w:tcPr>
            <w:tcW w:w="3100" w:type="dxa"/>
            <w:tcBorders>
              <w:top w:val="single" w:sz="6" w:space="0" w:color="auto"/>
              <w:left w:val="single" w:sz="6" w:space="0" w:color="auto"/>
              <w:bottom w:val="single" w:sz="6" w:space="0" w:color="auto"/>
            </w:tcBorders>
            <w:vAlign w:val="center"/>
          </w:tcPr>
          <w:p w14:paraId="21E39244" w14:textId="16AFCCBD" w:rsidR="00131EB2" w:rsidRPr="004229C1" w:rsidRDefault="005D2B80"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37" w:history="1">
              <w:r w:rsidRPr="004229C1">
                <w:rPr>
                  <w:rStyle w:val="Hyperlink"/>
                  <w:rFonts w:ascii="Times New Roman" w:hAnsi="Times New Roman" w:cs="Times New Roman"/>
                  <w:kern w:val="0"/>
                  <w:sz w:val="22"/>
                  <w:szCs w:val="22"/>
                  <w:lang w:val="uk-UA"/>
                </w:rPr>
                <w:t>https://www.pravex.com.ua/storage/files/polozhennya-pro-nr.pdf</w:t>
              </w:r>
            </w:hyperlink>
            <w:r w:rsidRPr="004229C1">
              <w:rPr>
                <w:rFonts w:ascii="Times New Roman" w:hAnsi="Times New Roman" w:cs="Times New Roman"/>
                <w:kern w:val="0"/>
                <w:sz w:val="22"/>
                <w:szCs w:val="22"/>
                <w:lang w:val="uk-UA"/>
              </w:rPr>
              <w:t xml:space="preserve"> </w:t>
            </w:r>
          </w:p>
        </w:tc>
      </w:tr>
      <w:tr w:rsidR="005D2B80" w:rsidRPr="004229C1" w14:paraId="7EE589B9" w14:textId="77777777" w:rsidTr="004A3B2B">
        <w:trPr>
          <w:trHeight w:val="200"/>
        </w:trPr>
        <w:tc>
          <w:tcPr>
            <w:tcW w:w="500" w:type="dxa"/>
            <w:tcBorders>
              <w:top w:val="single" w:sz="6" w:space="0" w:color="auto"/>
              <w:bottom w:val="single" w:sz="6" w:space="0" w:color="auto"/>
              <w:right w:val="single" w:sz="6" w:space="0" w:color="auto"/>
            </w:tcBorders>
            <w:vAlign w:val="center"/>
          </w:tcPr>
          <w:p w14:paraId="18662247" w14:textId="77777777"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3200" w:type="dxa"/>
            <w:tcBorders>
              <w:top w:val="single" w:sz="6" w:space="0" w:color="auto"/>
              <w:left w:val="single" w:sz="6" w:space="0" w:color="auto"/>
              <w:bottom w:val="single" w:sz="6" w:space="0" w:color="auto"/>
              <w:right w:val="single" w:sz="6" w:space="0" w:color="auto"/>
            </w:tcBorders>
          </w:tcPr>
          <w:p w14:paraId="2150628F" w14:textId="77777777" w:rsidR="005D2B80" w:rsidRPr="004229C1" w:rsidRDefault="005D2B80" w:rsidP="005D2B80">
            <w:pPr>
              <w:pStyle w:val="TableParagraph"/>
              <w:spacing w:before="251"/>
              <w:rPr>
                <w:rFonts w:eastAsiaTheme="minorEastAsia"/>
                <w:kern w:val="2"/>
                <w:lang w:eastAsia="ru-UA"/>
                <w14:ligatures w14:val="standardContextual"/>
              </w:rPr>
            </w:pPr>
          </w:p>
          <w:p w14:paraId="213DAB47" w14:textId="23E1C11F"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Положення про </w:t>
            </w:r>
            <w:proofErr w:type="spellStart"/>
            <w:r w:rsidRPr="004229C1">
              <w:rPr>
                <w:rFonts w:ascii="Times New Roman" w:hAnsi="Times New Roman" w:cs="Times New Roman"/>
                <w:sz w:val="22"/>
                <w:szCs w:val="22"/>
                <w:lang w:val="uk-UA"/>
              </w:rPr>
              <w:t>Правлiння</w:t>
            </w:r>
            <w:proofErr w:type="spellEnd"/>
            <w:r w:rsidRPr="004229C1">
              <w:rPr>
                <w:rFonts w:ascii="Times New Roman" w:hAnsi="Times New Roman" w:cs="Times New Roman"/>
                <w:sz w:val="22"/>
                <w:szCs w:val="22"/>
                <w:lang w:val="uk-UA"/>
              </w:rPr>
              <w:t xml:space="preserve"> Банку</w:t>
            </w:r>
          </w:p>
        </w:tc>
        <w:tc>
          <w:tcPr>
            <w:tcW w:w="3200" w:type="dxa"/>
            <w:tcBorders>
              <w:top w:val="single" w:sz="6" w:space="0" w:color="auto"/>
              <w:left w:val="single" w:sz="6" w:space="0" w:color="auto"/>
              <w:bottom w:val="single" w:sz="6" w:space="0" w:color="auto"/>
              <w:right w:val="single" w:sz="6" w:space="0" w:color="auto"/>
            </w:tcBorders>
          </w:tcPr>
          <w:p w14:paraId="26BA8C71" w14:textId="77777777" w:rsidR="005D2B80" w:rsidRPr="004229C1" w:rsidRDefault="005D2B80" w:rsidP="005D2B80">
            <w:pPr>
              <w:pStyle w:val="TableParagraph"/>
              <w:ind w:left="165" w:right="145" w:hanging="2"/>
              <w:jc w:val="center"/>
              <w:rPr>
                <w:rFonts w:eastAsiaTheme="minorEastAsia"/>
                <w:kern w:val="2"/>
                <w:lang w:eastAsia="ru-UA"/>
                <w14:ligatures w14:val="standardContextual"/>
              </w:rPr>
            </w:pPr>
            <w:r w:rsidRPr="004229C1">
              <w:rPr>
                <w:rFonts w:eastAsiaTheme="minorEastAsia"/>
                <w:kern w:val="2"/>
                <w:lang w:eastAsia="ru-UA"/>
                <w14:ligatures w14:val="standardContextual"/>
              </w:rPr>
              <w:t xml:space="preserve">визначає правовий статус, склад, строк повноважень, порядок формування та </w:t>
            </w:r>
            <w:proofErr w:type="spellStart"/>
            <w:r w:rsidRPr="004229C1">
              <w:rPr>
                <w:rFonts w:eastAsiaTheme="minorEastAsia"/>
                <w:kern w:val="2"/>
                <w:lang w:eastAsia="ru-UA"/>
                <w14:ligatures w14:val="standardContextual"/>
              </w:rPr>
              <w:t>органiзацiю</w:t>
            </w:r>
            <w:proofErr w:type="spellEnd"/>
            <w:r w:rsidRPr="004229C1">
              <w:rPr>
                <w:rFonts w:eastAsiaTheme="minorEastAsia"/>
                <w:kern w:val="2"/>
                <w:lang w:eastAsia="ru-UA"/>
                <w14:ligatures w14:val="standardContextual"/>
              </w:rPr>
              <w:t xml:space="preserve"> роботи </w:t>
            </w:r>
            <w:proofErr w:type="spellStart"/>
            <w:r w:rsidRPr="004229C1">
              <w:rPr>
                <w:rFonts w:eastAsiaTheme="minorEastAsia"/>
                <w:kern w:val="2"/>
                <w:lang w:eastAsia="ru-UA"/>
                <w14:ligatures w14:val="standardContextual"/>
              </w:rPr>
              <w:t>Правлiння</w:t>
            </w:r>
            <w:proofErr w:type="spellEnd"/>
            <w:r w:rsidRPr="004229C1">
              <w:rPr>
                <w:rFonts w:eastAsiaTheme="minorEastAsia"/>
                <w:kern w:val="2"/>
                <w:lang w:eastAsia="ru-UA"/>
                <w14:ligatures w14:val="standardContextual"/>
              </w:rPr>
              <w:t xml:space="preserve"> Банку, а також права,</w:t>
            </w:r>
          </w:p>
          <w:p w14:paraId="55E08015" w14:textId="5DAA9E25" w:rsidR="005D2B80" w:rsidRPr="004229C1" w:rsidRDefault="005D2B80" w:rsidP="004A3B2B">
            <w:pPr>
              <w:pStyle w:val="TableParagraph"/>
              <w:spacing w:before="5"/>
              <w:ind w:left="148" w:right="130" w:hanging="1"/>
              <w:jc w:val="center"/>
              <w:rPr>
                <w:kern w:val="2"/>
              </w:rPr>
            </w:pPr>
            <w:r w:rsidRPr="004229C1">
              <w:rPr>
                <w:rFonts w:eastAsiaTheme="minorEastAsia"/>
                <w:kern w:val="2"/>
                <w:lang w:eastAsia="ru-UA"/>
                <w14:ligatures w14:val="standardContextual"/>
              </w:rPr>
              <w:t xml:space="preserve">обов'язки i </w:t>
            </w:r>
            <w:proofErr w:type="spellStart"/>
            <w:r w:rsidRPr="004229C1">
              <w:rPr>
                <w:rFonts w:eastAsiaTheme="minorEastAsia"/>
                <w:kern w:val="2"/>
                <w:lang w:eastAsia="ru-UA"/>
                <w14:ligatures w14:val="standardContextual"/>
              </w:rPr>
              <w:t>вiдповiдальнiсть</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членiв</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Правлiння</w:t>
            </w:r>
            <w:proofErr w:type="spellEnd"/>
          </w:p>
        </w:tc>
        <w:tc>
          <w:tcPr>
            <w:tcW w:w="3100" w:type="dxa"/>
            <w:tcBorders>
              <w:top w:val="single" w:sz="6" w:space="0" w:color="auto"/>
              <w:left w:val="single" w:sz="6" w:space="0" w:color="auto"/>
              <w:bottom w:val="single" w:sz="6" w:space="0" w:color="auto"/>
            </w:tcBorders>
            <w:vAlign w:val="center"/>
          </w:tcPr>
          <w:p w14:paraId="209E95CC" w14:textId="4F4EC1F3"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38" w:history="1">
              <w:r w:rsidRPr="004229C1">
                <w:rPr>
                  <w:rStyle w:val="Hyperlink"/>
                  <w:rFonts w:ascii="Times New Roman" w:hAnsi="Times New Roman" w:cs="Times New Roman"/>
                  <w:kern w:val="0"/>
                  <w:sz w:val="22"/>
                  <w:szCs w:val="22"/>
                  <w:lang w:val="uk-UA"/>
                </w:rPr>
                <w:t>https://www.pravex.com.ua/storage/files/polozhennya-pro-pravlinnya-12.pdf</w:t>
              </w:r>
            </w:hyperlink>
            <w:r w:rsidRPr="004229C1">
              <w:rPr>
                <w:rFonts w:ascii="Times New Roman" w:hAnsi="Times New Roman" w:cs="Times New Roman"/>
                <w:kern w:val="0"/>
                <w:sz w:val="22"/>
                <w:szCs w:val="22"/>
                <w:lang w:val="uk-UA"/>
              </w:rPr>
              <w:t xml:space="preserve"> </w:t>
            </w:r>
          </w:p>
        </w:tc>
      </w:tr>
      <w:tr w:rsidR="005D2B80" w:rsidRPr="004229C1" w14:paraId="512DD91D" w14:textId="77777777" w:rsidTr="004A3B2B">
        <w:trPr>
          <w:trHeight w:val="200"/>
        </w:trPr>
        <w:tc>
          <w:tcPr>
            <w:tcW w:w="500" w:type="dxa"/>
            <w:tcBorders>
              <w:top w:val="single" w:sz="6" w:space="0" w:color="auto"/>
              <w:bottom w:val="single" w:sz="6" w:space="0" w:color="auto"/>
              <w:right w:val="single" w:sz="6" w:space="0" w:color="auto"/>
            </w:tcBorders>
            <w:vAlign w:val="center"/>
          </w:tcPr>
          <w:p w14:paraId="1C9A6AC8" w14:textId="77777777"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3200" w:type="dxa"/>
            <w:tcBorders>
              <w:top w:val="single" w:sz="6" w:space="0" w:color="auto"/>
              <w:left w:val="single" w:sz="6" w:space="0" w:color="auto"/>
              <w:bottom w:val="single" w:sz="6" w:space="0" w:color="auto"/>
              <w:right w:val="single" w:sz="6" w:space="0" w:color="auto"/>
            </w:tcBorders>
          </w:tcPr>
          <w:p w14:paraId="52C662D6" w14:textId="77777777" w:rsidR="005D2B80" w:rsidRPr="004229C1" w:rsidRDefault="005D2B80" w:rsidP="005D2B80">
            <w:pPr>
              <w:pStyle w:val="TableParagraph"/>
              <w:rPr>
                <w:rFonts w:eastAsiaTheme="minorEastAsia"/>
                <w:kern w:val="2"/>
                <w:lang w:eastAsia="ru-UA"/>
                <w14:ligatures w14:val="standardContextual"/>
              </w:rPr>
            </w:pPr>
          </w:p>
          <w:p w14:paraId="1FCA922C" w14:textId="77777777" w:rsidR="005D2B80" w:rsidRPr="004229C1" w:rsidRDefault="005D2B80" w:rsidP="005D2B80">
            <w:pPr>
              <w:pStyle w:val="TableParagraph"/>
              <w:rPr>
                <w:rFonts w:eastAsiaTheme="minorEastAsia"/>
                <w:kern w:val="2"/>
                <w:lang w:eastAsia="ru-UA"/>
                <w14:ligatures w14:val="standardContextual"/>
              </w:rPr>
            </w:pPr>
          </w:p>
          <w:p w14:paraId="39566113" w14:textId="77777777" w:rsidR="005D2B80" w:rsidRPr="004229C1" w:rsidRDefault="005D2B80" w:rsidP="005D2B80">
            <w:pPr>
              <w:pStyle w:val="TableParagraph"/>
              <w:rPr>
                <w:rFonts w:eastAsiaTheme="minorEastAsia"/>
                <w:kern w:val="2"/>
                <w:lang w:eastAsia="ru-UA"/>
                <w14:ligatures w14:val="standardContextual"/>
              </w:rPr>
            </w:pPr>
          </w:p>
          <w:p w14:paraId="41D6ED7E" w14:textId="77777777" w:rsidR="005D2B80" w:rsidRPr="004229C1" w:rsidRDefault="005D2B80" w:rsidP="005D2B80">
            <w:pPr>
              <w:pStyle w:val="TableParagraph"/>
              <w:rPr>
                <w:rFonts w:eastAsiaTheme="minorEastAsia"/>
                <w:kern w:val="2"/>
                <w:lang w:eastAsia="ru-UA"/>
                <w14:ligatures w14:val="standardContextual"/>
              </w:rPr>
            </w:pPr>
          </w:p>
          <w:p w14:paraId="6D61E193" w14:textId="77777777" w:rsidR="005D2B80" w:rsidRPr="004229C1" w:rsidRDefault="005D2B80" w:rsidP="005D2B80">
            <w:pPr>
              <w:pStyle w:val="TableParagraph"/>
              <w:rPr>
                <w:rFonts w:eastAsiaTheme="minorEastAsia"/>
                <w:kern w:val="2"/>
                <w:lang w:eastAsia="ru-UA"/>
                <w14:ligatures w14:val="standardContextual"/>
              </w:rPr>
            </w:pPr>
          </w:p>
          <w:p w14:paraId="5F17A655" w14:textId="77777777" w:rsidR="005D2B80" w:rsidRPr="004229C1" w:rsidRDefault="005D2B80" w:rsidP="005D2B80">
            <w:pPr>
              <w:pStyle w:val="TableParagraph"/>
              <w:rPr>
                <w:rFonts w:eastAsiaTheme="minorEastAsia"/>
                <w:kern w:val="2"/>
                <w:lang w:eastAsia="ru-UA"/>
                <w14:ligatures w14:val="standardContextual"/>
              </w:rPr>
            </w:pPr>
          </w:p>
          <w:p w14:paraId="2954F44E" w14:textId="77777777" w:rsidR="005D2B80" w:rsidRPr="004229C1" w:rsidRDefault="005D2B80" w:rsidP="005D2B80">
            <w:pPr>
              <w:pStyle w:val="TableParagraph"/>
              <w:spacing w:before="125"/>
              <w:rPr>
                <w:rFonts w:eastAsiaTheme="minorEastAsia"/>
                <w:kern w:val="2"/>
                <w:lang w:eastAsia="ru-UA"/>
                <w14:ligatures w14:val="standardContextual"/>
              </w:rPr>
            </w:pPr>
          </w:p>
          <w:p w14:paraId="6AFF3207" w14:textId="3B2D1D9E"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Кодекс корпоративного </w:t>
            </w:r>
            <w:proofErr w:type="spellStart"/>
            <w:r w:rsidRPr="004229C1">
              <w:rPr>
                <w:rFonts w:ascii="Times New Roman" w:hAnsi="Times New Roman" w:cs="Times New Roman"/>
                <w:sz w:val="22"/>
                <w:szCs w:val="22"/>
                <w:lang w:val="uk-UA"/>
              </w:rPr>
              <w:t>управлiння</w:t>
            </w:r>
            <w:proofErr w:type="spellEnd"/>
            <w:r w:rsidRPr="004229C1">
              <w:rPr>
                <w:rFonts w:ascii="Times New Roman" w:hAnsi="Times New Roman" w:cs="Times New Roman"/>
                <w:sz w:val="22"/>
                <w:szCs w:val="22"/>
                <w:lang w:val="uk-UA"/>
              </w:rPr>
              <w:t xml:space="preserve"> Банку</w:t>
            </w:r>
          </w:p>
        </w:tc>
        <w:tc>
          <w:tcPr>
            <w:tcW w:w="3200" w:type="dxa"/>
            <w:tcBorders>
              <w:top w:val="single" w:sz="6" w:space="0" w:color="auto"/>
              <w:left w:val="single" w:sz="6" w:space="0" w:color="auto"/>
              <w:bottom w:val="single" w:sz="6" w:space="0" w:color="auto"/>
              <w:right w:val="single" w:sz="6" w:space="0" w:color="auto"/>
            </w:tcBorders>
          </w:tcPr>
          <w:p w14:paraId="4CD6029A" w14:textId="77777777" w:rsidR="005D2B80" w:rsidRPr="004229C1" w:rsidRDefault="005D2B80" w:rsidP="005D2B80">
            <w:pPr>
              <w:pStyle w:val="TableParagraph"/>
              <w:ind w:left="110" w:right="91" w:hanging="3"/>
              <w:jc w:val="center"/>
              <w:rPr>
                <w:rFonts w:eastAsiaTheme="minorEastAsia"/>
                <w:kern w:val="2"/>
                <w:lang w:eastAsia="ru-UA"/>
                <w14:ligatures w14:val="standardContextual"/>
              </w:rPr>
            </w:pPr>
            <w:r w:rsidRPr="004229C1">
              <w:rPr>
                <w:rFonts w:eastAsiaTheme="minorEastAsia"/>
                <w:kern w:val="2"/>
                <w:lang w:eastAsia="ru-UA"/>
                <w14:ligatures w14:val="standardContextual"/>
              </w:rPr>
              <w:t xml:space="preserve">розкриває мету </w:t>
            </w:r>
            <w:proofErr w:type="spellStart"/>
            <w:r w:rsidRPr="004229C1">
              <w:rPr>
                <w:rFonts w:eastAsiaTheme="minorEastAsia"/>
                <w:kern w:val="2"/>
                <w:lang w:eastAsia="ru-UA"/>
                <w14:ligatures w14:val="standardContextual"/>
              </w:rPr>
              <w:t>дiяльностi</w:t>
            </w:r>
            <w:proofErr w:type="spellEnd"/>
            <w:r w:rsidRPr="004229C1">
              <w:rPr>
                <w:rFonts w:eastAsiaTheme="minorEastAsia"/>
                <w:kern w:val="2"/>
                <w:lang w:eastAsia="ru-UA"/>
                <w14:ligatures w14:val="standardContextual"/>
              </w:rPr>
              <w:t xml:space="preserve"> та </w:t>
            </w:r>
            <w:proofErr w:type="spellStart"/>
            <w:r w:rsidRPr="004229C1">
              <w:rPr>
                <w:rFonts w:eastAsiaTheme="minorEastAsia"/>
                <w:kern w:val="2"/>
                <w:lang w:eastAsia="ru-UA"/>
                <w14:ligatures w14:val="standardContextual"/>
              </w:rPr>
              <w:t>стратегiю</w:t>
            </w:r>
            <w:proofErr w:type="spellEnd"/>
            <w:r w:rsidRPr="004229C1">
              <w:rPr>
                <w:rFonts w:eastAsiaTheme="minorEastAsia"/>
                <w:kern w:val="2"/>
                <w:lang w:eastAsia="ru-UA"/>
                <w14:ligatures w14:val="standardContextual"/>
              </w:rPr>
              <w:t xml:space="preserve"> розвитку Банку, питання корпоративної культури Банку, прав </w:t>
            </w:r>
            <w:proofErr w:type="spellStart"/>
            <w:r w:rsidRPr="004229C1">
              <w:rPr>
                <w:rFonts w:eastAsiaTheme="minorEastAsia"/>
                <w:kern w:val="2"/>
                <w:lang w:eastAsia="ru-UA"/>
                <w14:ligatures w14:val="standardContextual"/>
              </w:rPr>
              <w:t>акцiонерiв</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вкладникiв</w:t>
            </w:r>
            <w:proofErr w:type="spellEnd"/>
            <w:r w:rsidRPr="004229C1">
              <w:rPr>
                <w:rFonts w:eastAsiaTheme="minorEastAsia"/>
                <w:kern w:val="2"/>
                <w:lang w:eastAsia="ru-UA"/>
                <w14:ligatures w14:val="standardContextual"/>
              </w:rPr>
              <w:t xml:space="preserve"> та </w:t>
            </w:r>
            <w:proofErr w:type="spellStart"/>
            <w:r w:rsidRPr="004229C1">
              <w:rPr>
                <w:rFonts w:eastAsiaTheme="minorEastAsia"/>
                <w:kern w:val="2"/>
                <w:lang w:eastAsia="ru-UA"/>
                <w14:ligatures w14:val="standardContextual"/>
              </w:rPr>
              <w:t>iнших</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заiнтересованих</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осiб</w:t>
            </w:r>
            <w:proofErr w:type="spellEnd"/>
            <w:r w:rsidRPr="004229C1">
              <w:rPr>
                <w:rFonts w:eastAsiaTheme="minorEastAsia"/>
                <w:kern w:val="2"/>
                <w:lang w:eastAsia="ru-UA"/>
                <w14:ligatures w14:val="standardContextual"/>
              </w:rPr>
              <w:t xml:space="preserve">, роль та </w:t>
            </w:r>
            <w:proofErr w:type="spellStart"/>
            <w:r w:rsidRPr="004229C1">
              <w:rPr>
                <w:rFonts w:eastAsiaTheme="minorEastAsia"/>
                <w:kern w:val="2"/>
                <w:lang w:eastAsia="ru-UA"/>
                <w14:ligatures w14:val="standardContextual"/>
              </w:rPr>
              <w:t>функцiї</w:t>
            </w:r>
            <w:proofErr w:type="spellEnd"/>
            <w:r w:rsidRPr="004229C1">
              <w:rPr>
                <w:rFonts w:eastAsiaTheme="minorEastAsia"/>
                <w:kern w:val="2"/>
                <w:lang w:eastAsia="ru-UA"/>
                <w14:ligatures w14:val="standardContextual"/>
              </w:rPr>
              <w:t xml:space="preserve"> Наглядової ради та </w:t>
            </w:r>
            <w:proofErr w:type="spellStart"/>
            <w:r w:rsidRPr="004229C1">
              <w:rPr>
                <w:rFonts w:eastAsiaTheme="minorEastAsia"/>
                <w:kern w:val="2"/>
                <w:lang w:eastAsia="ru-UA"/>
                <w14:ligatures w14:val="standardContextual"/>
              </w:rPr>
              <w:t>Правлiння</w:t>
            </w:r>
            <w:proofErr w:type="spellEnd"/>
            <w:r w:rsidRPr="004229C1">
              <w:rPr>
                <w:rFonts w:eastAsiaTheme="minorEastAsia"/>
                <w:kern w:val="2"/>
                <w:lang w:eastAsia="ru-UA"/>
                <w14:ligatures w14:val="standardContextual"/>
              </w:rPr>
              <w:t xml:space="preserve"> Банку, положення про Корпоративного секретаря, питання </w:t>
            </w:r>
            <w:proofErr w:type="spellStart"/>
            <w:r w:rsidRPr="004229C1">
              <w:rPr>
                <w:rFonts w:eastAsiaTheme="minorEastAsia"/>
                <w:kern w:val="2"/>
                <w:lang w:eastAsia="ru-UA"/>
                <w14:ligatures w14:val="standardContextual"/>
              </w:rPr>
              <w:t>лояльностi</w:t>
            </w:r>
            <w:proofErr w:type="spellEnd"/>
            <w:r w:rsidRPr="004229C1">
              <w:rPr>
                <w:rFonts w:eastAsiaTheme="minorEastAsia"/>
                <w:kern w:val="2"/>
                <w:lang w:eastAsia="ru-UA"/>
                <w14:ligatures w14:val="standardContextual"/>
              </w:rPr>
              <w:t xml:space="preserve"> та </w:t>
            </w:r>
            <w:proofErr w:type="spellStart"/>
            <w:r w:rsidRPr="004229C1">
              <w:rPr>
                <w:rFonts w:eastAsiaTheme="minorEastAsia"/>
                <w:kern w:val="2"/>
                <w:lang w:eastAsia="ru-UA"/>
                <w14:ligatures w14:val="standardContextual"/>
              </w:rPr>
              <w:t>вiдповiдальнiсть</w:t>
            </w:r>
            <w:proofErr w:type="spellEnd"/>
            <w:r w:rsidRPr="004229C1">
              <w:rPr>
                <w:rFonts w:eastAsiaTheme="minorEastAsia"/>
                <w:kern w:val="2"/>
                <w:lang w:eastAsia="ru-UA"/>
                <w14:ligatures w14:val="standardContextual"/>
              </w:rPr>
              <w:t xml:space="preserve"> </w:t>
            </w:r>
            <w:proofErr w:type="spellStart"/>
            <w:r w:rsidRPr="004229C1">
              <w:rPr>
                <w:rFonts w:eastAsiaTheme="minorEastAsia"/>
                <w:kern w:val="2"/>
                <w:lang w:eastAsia="ru-UA"/>
                <w14:ligatures w14:val="standardContextual"/>
              </w:rPr>
              <w:t>керiвникiв</w:t>
            </w:r>
            <w:proofErr w:type="spellEnd"/>
            <w:r w:rsidRPr="004229C1">
              <w:rPr>
                <w:rFonts w:eastAsiaTheme="minorEastAsia"/>
                <w:kern w:val="2"/>
                <w:lang w:eastAsia="ru-UA"/>
                <w14:ligatures w14:val="standardContextual"/>
              </w:rPr>
              <w:t xml:space="preserve"> Банку, системи </w:t>
            </w:r>
            <w:proofErr w:type="spellStart"/>
            <w:r w:rsidRPr="004229C1">
              <w:rPr>
                <w:rFonts w:eastAsiaTheme="minorEastAsia"/>
                <w:kern w:val="2"/>
                <w:lang w:eastAsia="ru-UA"/>
                <w14:ligatures w14:val="standardContextual"/>
              </w:rPr>
              <w:t>внутрiшнього</w:t>
            </w:r>
            <w:proofErr w:type="spellEnd"/>
            <w:r w:rsidRPr="004229C1">
              <w:rPr>
                <w:rFonts w:eastAsiaTheme="minorEastAsia"/>
                <w:kern w:val="2"/>
                <w:lang w:eastAsia="ru-UA"/>
                <w14:ligatures w14:val="standardContextual"/>
              </w:rPr>
              <w:t xml:space="preserve"> контролю та системи </w:t>
            </w:r>
            <w:proofErr w:type="spellStart"/>
            <w:r w:rsidRPr="004229C1">
              <w:rPr>
                <w:rFonts w:eastAsiaTheme="minorEastAsia"/>
                <w:kern w:val="2"/>
                <w:lang w:eastAsia="ru-UA"/>
                <w14:ligatures w14:val="standardContextual"/>
              </w:rPr>
              <w:t>управлiння</w:t>
            </w:r>
            <w:proofErr w:type="spellEnd"/>
            <w:r w:rsidRPr="004229C1">
              <w:rPr>
                <w:rFonts w:eastAsiaTheme="minorEastAsia"/>
                <w:kern w:val="2"/>
                <w:lang w:eastAsia="ru-UA"/>
                <w14:ligatures w14:val="standardContextual"/>
              </w:rPr>
              <w:t xml:space="preserve"> ризиками Банку, контролю за </w:t>
            </w:r>
            <w:proofErr w:type="spellStart"/>
            <w:r w:rsidRPr="004229C1">
              <w:rPr>
                <w:rFonts w:eastAsiaTheme="minorEastAsia"/>
                <w:kern w:val="2"/>
                <w:lang w:eastAsia="ru-UA"/>
                <w14:ligatures w14:val="standardContextual"/>
              </w:rPr>
              <w:t>фiнансово</w:t>
            </w:r>
            <w:proofErr w:type="spellEnd"/>
            <w:r w:rsidRPr="004229C1">
              <w:rPr>
                <w:rFonts w:eastAsiaTheme="minorEastAsia"/>
                <w:kern w:val="2"/>
                <w:lang w:eastAsia="ru-UA"/>
                <w14:ligatures w14:val="standardContextual"/>
              </w:rPr>
              <w:t xml:space="preserve">- господарською </w:t>
            </w:r>
            <w:proofErr w:type="spellStart"/>
            <w:r w:rsidRPr="004229C1">
              <w:rPr>
                <w:rFonts w:eastAsiaTheme="minorEastAsia"/>
                <w:kern w:val="2"/>
                <w:lang w:eastAsia="ru-UA"/>
                <w14:ligatures w14:val="standardContextual"/>
              </w:rPr>
              <w:t>дiяльнiстю</w:t>
            </w:r>
            <w:proofErr w:type="spellEnd"/>
            <w:r w:rsidRPr="004229C1">
              <w:rPr>
                <w:rFonts w:eastAsiaTheme="minorEastAsia"/>
                <w:kern w:val="2"/>
                <w:lang w:eastAsia="ru-UA"/>
                <w14:ligatures w14:val="standardContextual"/>
              </w:rPr>
              <w:t xml:space="preserve"> Банку, системи винагороди Банку,</w:t>
            </w:r>
          </w:p>
          <w:p w14:paraId="5B2F304D" w14:textId="492E9D5E"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sz w:val="22"/>
                <w:szCs w:val="22"/>
                <w:lang w:val="uk-UA"/>
              </w:rPr>
            </w:pPr>
            <w:r w:rsidRPr="004229C1">
              <w:rPr>
                <w:rFonts w:ascii="Times New Roman" w:hAnsi="Times New Roman" w:cs="Times New Roman"/>
                <w:sz w:val="22"/>
                <w:szCs w:val="22"/>
                <w:lang w:val="uk-UA"/>
              </w:rPr>
              <w:t xml:space="preserve">розкриття </w:t>
            </w:r>
            <w:proofErr w:type="spellStart"/>
            <w:r w:rsidRPr="004229C1">
              <w:rPr>
                <w:rFonts w:ascii="Times New Roman" w:hAnsi="Times New Roman" w:cs="Times New Roman"/>
                <w:sz w:val="22"/>
                <w:szCs w:val="22"/>
                <w:lang w:val="uk-UA"/>
              </w:rPr>
              <w:t>iнформацiї</w:t>
            </w:r>
            <w:proofErr w:type="spellEnd"/>
            <w:r w:rsidRPr="004229C1">
              <w:rPr>
                <w:rFonts w:ascii="Times New Roman" w:hAnsi="Times New Roman" w:cs="Times New Roman"/>
                <w:sz w:val="22"/>
                <w:szCs w:val="22"/>
                <w:lang w:val="uk-UA"/>
              </w:rPr>
              <w:t xml:space="preserve"> та </w:t>
            </w:r>
            <w:proofErr w:type="spellStart"/>
            <w:r w:rsidRPr="004229C1">
              <w:rPr>
                <w:rFonts w:ascii="Times New Roman" w:hAnsi="Times New Roman" w:cs="Times New Roman"/>
                <w:sz w:val="22"/>
                <w:szCs w:val="22"/>
                <w:lang w:val="uk-UA"/>
              </w:rPr>
              <w:t>прозоростi</w:t>
            </w:r>
            <w:proofErr w:type="spellEnd"/>
            <w:r w:rsidRPr="004229C1">
              <w:rPr>
                <w:rFonts w:ascii="Times New Roman" w:hAnsi="Times New Roman" w:cs="Times New Roman"/>
                <w:sz w:val="22"/>
                <w:szCs w:val="22"/>
                <w:lang w:val="uk-UA"/>
              </w:rPr>
              <w:t xml:space="preserve">, </w:t>
            </w:r>
            <w:proofErr w:type="spellStart"/>
            <w:r w:rsidRPr="004229C1">
              <w:rPr>
                <w:rFonts w:ascii="Times New Roman" w:hAnsi="Times New Roman" w:cs="Times New Roman"/>
                <w:sz w:val="22"/>
                <w:szCs w:val="22"/>
                <w:lang w:val="uk-UA"/>
              </w:rPr>
              <w:t>взаємодiї</w:t>
            </w:r>
            <w:proofErr w:type="spellEnd"/>
            <w:r w:rsidRPr="004229C1">
              <w:rPr>
                <w:rFonts w:ascii="Times New Roman" w:hAnsi="Times New Roman" w:cs="Times New Roman"/>
                <w:sz w:val="22"/>
                <w:szCs w:val="22"/>
                <w:lang w:val="uk-UA"/>
              </w:rPr>
              <w:t xml:space="preserve"> Банку та </w:t>
            </w:r>
            <w:proofErr w:type="spellStart"/>
            <w:r w:rsidRPr="004229C1">
              <w:rPr>
                <w:rFonts w:ascii="Times New Roman" w:hAnsi="Times New Roman" w:cs="Times New Roman"/>
                <w:sz w:val="22"/>
                <w:szCs w:val="22"/>
                <w:lang w:val="uk-UA"/>
              </w:rPr>
              <w:t>суспiльства</w:t>
            </w:r>
            <w:proofErr w:type="spellEnd"/>
          </w:p>
        </w:tc>
        <w:tc>
          <w:tcPr>
            <w:tcW w:w="3100" w:type="dxa"/>
            <w:tcBorders>
              <w:top w:val="single" w:sz="6" w:space="0" w:color="auto"/>
              <w:left w:val="single" w:sz="6" w:space="0" w:color="auto"/>
              <w:bottom w:val="single" w:sz="6" w:space="0" w:color="auto"/>
            </w:tcBorders>
            <w:vAlign w:val="center"/>
          </w:tcPr>
          <w:p w14:paraId="3C5CDA42" w14:textId="0DF6248A"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39" w:history="1">
              <w:r w:rsidRPr="004229C1">
                <w:rPr>
                  <w:rStyle w:val="Hyperlink"/>
                  <w:rFonts w:ascii="Times New Roman" w:hAnsi="Times New Roman" w:cs="Times New Roman"/>
                  <w:kern w:val="0"/>
                  <w:sz w:val="22"/>
                  <w:szCs w:val="22"/>
                  <w:lang w:val="uk-UA"/>
                </w:rPr>
                <w:t>https://www.pravex.com.ua/storage/files/kodekskorporativnogoupravlinnya2024.pdf</w:t>
              </w:r>
            </w:hyperlink>
            <w:r w:rsidRPr="004229C1">
              <w:rPr>
                <w:rFonts w:ascii="Times New Roman" w:hAnsi="Times New Roman" w:cs="Times New Roman"/>
                <w:kern w:val="0"/>
                <w:sz w:val="22"/>
                <w:szCs w:val="22"/>
                <w:lang w:val="uk-UA"/>
              </w:rPr>
              <w:t xml:space="preserve"> </w:t>
            </w:r>
          </w:p>
        </w:tc>
      </w:tr>
      <w:tr w:rsidR="00131EB2" w:rsidRPr="004229C1" w14:paraId="149592E4" w14:textId="77777777" w:rsidTr="004A3B2B">
        <w:trPr>
          <w:trHeight w:val="200"/>
        </w:trPr>
        <w:tc>
          <w:tcPr>
            <w:tcW w:w="500" w:type="dxa"/>
            <w:tcBorders>
              <w:top w:val="single" w:sz="6" w:space="0" w:color="auto"/>
              <w:bottom w:val="single" w:sz="6" w:space="0" w:color="auto"/>
              <w:right w:val="single" w:sz="6" w:space="0" w:color="auto"/>
            </w:tcBorders>
            <w:vAlign w:val="center"/>
          </w:tcPr>
          <w:p w14:paraId="3156DDE5" w14:textId="77777777" w:rsidR="00131EB2" w:rsidRPr="004229C1" w:rsidRDefault="00131EB2"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
        </w:tc>
        <w:tc>
          <w:tcPr>
            <w:tcW w:w="3200" w:type="dxa"/>
            <w:tcBorders>
              <w:top w:val="single" w:sz="6" w:space="0" w:color="auto"/>
              <w:left w:val="single" w:sz="6" w:space="0" w:color="auto"/>
              <w:bottom w:val="single" w:sz="6" w:space="0" w:color="auto"/>
              <w:right w:val="single" w:sz="6" w:space="0" w:color="auto"/>
            </w:tcBorders>
          </w:tcPr>
          <w:p w14:paraId="6C8B638B" w14:textId="5B161DCE" w:rsidR="00131EB2" w:rsidRPr="004229C1" w:rsidRDefault="00632CF5"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Політика </w:t>
            </w:r>
            <w:r w:rsidR="005D2B80" w:rsidRPr="004229C1">
              <w:rPr>
                <w:rFonts w:ascii="Times New Roman" w:hAnsi="Times New Roman" w:cs="Times New Roman"/>
                <w:kern w:val="0"/>
                <w:sz w:val="22"/>
                <w:szCs w:val="22"/>
                <w:lang w:val="uk-UA"/>
              </w:rPr>
              <w:t>винагороди Банку</w:t>
            </w:r>
          </w:p>
        </w:tc>
        <w:tc>
          <w:tcPr>
            <w:tcW w:w="3200" w:type="dxa"/>
            <w:tcBorders>
              <w:top w:val="single" w:sz="6" w:space="0" w:color="auto"/>
              <w:left w:val="single" w:sz="6" w:space="0" w:color="auto"/>
              <w:bottom w:val="single" w:sz="6" w:space="0" w:color="auto"/>
              <w:right w:val="single" w:sz="6" w:space="0" w:color="auto"/>
            </w:tcBorders>
          </w:tcPr>
          <w:p w14:paraId="6B3FAD69" w14:textId="2032BAFE" w:rsidR="005D2B80"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xml:space="preserve">визначає </w:t>
            </w:r>
            <w:proofErr w:type="spellStart"/>
            <w:r w:rsidRPr="004229C1">
              <w:rPr>
                <w:rFonts w:ascii="Times New Roman" w:hAnsi="Times New Roman" w:cs="Times New Roman"/>
                <w:kern w:val="0"/>
                <w:sz w:val="22"/>
                <w:szCs w:val="22"/>
                <w:lang w:val="uk-UA"/>
              </w:rPr>
              <w:t>основнi</w:t>
            </w:r>
            <w:proofErr w:type="spellEnd"/>
            <w:r w:rsidRPr="004229C1">
              <w:rPr>
                <w:rFonts w:ascii="Times New Roman" w:hAnsi="Times New Roman" w:cs="Times New Roman"/>
                <w:kern w:val="0"/>
                <w:sz w:val="22"/>
                <w:szCs w:val="22"/>
                <w:lang w:val="uk-UA"/>
              </w:rPr>
              <w:t xml:space="preserve"> правила щодо винагороди, </w:t>
            </w:r>
            <w:proofErr w:type="spellStart"/>
            <w:r w:rsidRPr="004229C1">
              <w:rPr>
                <w:rFonts w:ascii="Times New Roman" w:hAnsi="Times New Roman" w:cs="Times New Roman"/>
                <w:kern w:val="0"/>
                <w:sz w:val="22"/>
                <w:szCs w:val="22"/>
                <w:lang w:val="uk-UA"/>
              </w:rPr>
              <w:t>складовi</w:t>
            </w:r>
            <w:proofErr w:type="spellEnd"/>
            <w:r w:rsidRPr="004229C1">
              <w:rPr>
                <w:rFonts w:ascii="Times New Roman" w:hAnsi="Times New Roman" w:cs="Times New Roman"/>
                <w:kern w:val="0"/>
                <w:sz w:val="22"/>
                <w:szCs w:val="22"/>
                <w:lang w:val="uk-UA"/>
              </w:rPr>
              <w:t xml:space="preserve"> винагороди та її структуру, </w:t>
            </w:r>
            <w:proofErr w:type="spellStart"/>
            <w:r w:rsidRPr="004229C1">
              <w:rPr>
                <w:rFonts w:ascii="Times New Roman" w:hAnsi="Times New Roman" w:cs="Times New Roman"/>
                <w:kern w:val="0"/>
                <w:sz w:val="22"/>
                <w:szCs w:val="22"/>
                <w:lang w:val="uk-UA"/>
              </w:rPr>
              <w:t>критерiї</w:t>
            </w:r>
            <w:proofErr w:type="spellEnd"/>
            <w:r w:rsidRPr="004229C1">
              <w:rPr>
                <w:rFonts w:ascii="Times New Roman" w:hAnsi="Times New Roman" w:cs="Times New Roman"/>
                <w:kern w:val="0"/>
                <w:sz w:val="22"/>
                <w:szCs w:val="22"/>
                <w:lang w:val="uk-UA"/>
              </w:rPr>
              <w:t xml:space="preserve"> та порядок розрахунку </w:t>
            </w:r>
            <w:proofErr w:type="spellStart"/>
            <w:r w:rsidRPr="004229C1">
              <w:rPr>
                <w:rFonts w:ascii="Times New Roman" w:hAnsi="Times New Roman" w:cs="Times New Roman"/>
                <w:kern w:val="0"/>
                <w:sz w:val="22"/>
                <w:szCs w:val="22"/>
                <w:lang w:val="uk-UA"/>
              </w:rPr>
              <w:t>розмiру</w:t>
            </w:r>
            <w:proofErr w:type="spellEnd"/>
            <w:r w:rsidRPr="004229C1">
              <w:rPr>
                <w:rFonts w:ascii="Times New Roman" w:hAnsi="Times New Roman" w:cs="Times New Roman"/>
                <w:kern w:val="0"/>
                <w:sz w:val="22"/>
                <w:szCs w:val="22"/>
                <w:lang w:val="uk-UA"/>
              </w:rPr>
              <w:t xml:space="preserve"> винагороди, а також порядок складання, затвердження та оприлюднення</w:t>
            </w:r>
          </w:p>
          <w:p w14:paraId="3A76C508" w14:textId="04EC80D2" w:rsidR="00131EB2" w:rsidRPr="004229C1" w:rsidRDefault="005D2B80" w:rsidP="005D2B80">
            <w:pPr>
              <w:widowControl w:val="0"/>
              <w:autoSpaceDE w:val="0"/>
              <w:autoSpaceDN w:val="0"/>
              <w:adjustRightInd w:val="0"/>
              <w:spacing w:after="0" w:line="240" w:lineRule="auto"/>
              <w:jc w:val="center"/>
              <w:rPr>
                <w:rFonts w:ascii="Times New Roman" w:hAnsi="Times New Roman" w:cs="Times New Roman"/>
                <w:kern w:val="0"/>
                <w:sz w:val="22"/>
                <w:szCs w:val="22"/>
                <w:lang w:val="uk-UA"/>
              </w:rPr>
            </w:pPr>
            <w:proofErr w:type="spellStart"/>
            <w:r w:rsidRPr="004229C1">
              <w:rPr>
                <w:rFonts w:ascii="Times New Roman" w:hAnsi="Times New Roman" w:cs="Times New Roman"/>
                <w:kern w:val="0"/>
                <w:sz w:val="22"/>
                <w:szCs w:val="22"/>
                <w:lang w:val="uk-UA"/>
              </w:rPr>
              <w:t>звiтiв</w:t>
            </w:r>
            <w:proofErr w:type="spellEnd"/>
            <w:r w:rsidRPr="004229C1">
              <w:rPr>
                <w:rFonts w:ascii="Times New Roman" w:hAnsi="Times New Roman" w:cs="Times New Roman"/>
                <w:kern w:val="0"/>
                <w:sz w:val="22"/>
                <w:szCs w:val="22"/>
                <w:lang w:val="uk-UA"/>
              </w:rPr>
              <w:t xml:space="preserve"> про винагороду</w:t>
            </w:r>
          </w:p>
        </w:tc>
        <w:tc>
          <w:tcPr>
            <w:tcW w:w="3100" w:type="dxa"/>
            <w:tcBorders>
              <w:top w:val="single" w:sz="6" w:space="0" w:color="auto"/>
              <w:left w:val="single" w:sz="6" w:space="0" w:color="auto"/>
              <w:bottom w:val="single" w:sz="6" w:space="0" w:color="auto"/>
            </w:tcBorders>
            <w:vAlign w:val="center"/>
          </w:tcPr>
          <w:p w14:paraId="79718F5B" w14:textId="5D1607B1" w:rsidR="00131EB2" w:rsidRPr="004229C1" w:rsidRDefault="009C6F5E" w:rsidP="00131EB2">
            <w:pPr>
              <w:widowControl w:val="0"/>
              <w:autoSpaceDE w:val="0"/>
              <w:autoSpaceDN w:val="0"/>
              <w:adjustRightInd w:val="0"/>
              <w:spacing w:after="0" w:line="240" w:lineRule="auto"/>
              <w:jc w:val="center"/>
              <w:rPr>
                <w:rFonts w:ascii="Times New Roman" w:hAnsi="Times New Roman" w:cs="Times New Roman"/>
                <w:kern w:val="0"/>
                <w:sz w:val="22"/>
                <w:szCs w:val="22"/>
                <w:lang w:val="uk-UA"/>
              </w:rPr>
            </w:pPr>
            <w:hyperlink r:id="rId40" w:history="1">
              <w:r w:rsidRPr="004229C1">
                <w:rPr>
                  <w:rStyle w:val="Hyperlink"/>
                  <w:rFonts w:ascii="Times New Roman" w:hAnsi="Times New Roman" w:cs="Times New Roman"/>
                  <w:kern w:val="0"/>
                  <w:sz w:val="22"/>
                  <w:szCs w:val="22"/>
                  <w:lang w:val="uk-UA"/>
                </w:rPr>
                <w:t>https://www.pravex.com.ua/storage/files/politikavinagorodiatpraveksbankvid28_1734419431.pdf</w:t>
              </w:r>
            </w:hyperlink>
            <w:r w:rsidRPr="004229C1">
              <w:rPr>
                <w:rFonts w:ascii="Times New Roman" w:hAnsi="Times New Roman" w:cs="Times New Roman"/>
                <w:kern w:val="0"/>
                <w:sz w:val="22"/>
                <w:szCs w:val="22"/>
                <w:lang w:val="uk-UA"/>
              </w:rPr>
              <w:t xml:space="preserve"> </w:t>
            </w:r>
          </w:p>
        </w:tc>
      </w:tr>
    </w:tbl>
    <w:p w14:paraId="2BAB0565" w14:textId="77777777" w:rsidR="007469BF" w:rsidRPr="004229C1" w:rsidRDefault="007469BF">
      <w:pPr>
        <w:widowControl w:val="0"/>
        <w:autoSpaceDE w:val="0"/>
        <w:autoSpaceDN w:val="0"/>
        <w:adjustRightInd w:val="0"/>
        <w:spacing w:after="0" w:line="240" w:lineRule="auto"/>
        <w:rPr>
          <w:rFonts w:ascii="Times New Roman" w:hAnsi="Times New Roman" w:cs="Times New Roman"/>
          <w:kern w:val="0"/>
          <w:sz w:val="22"/>
          <w:szCs w:val="22"/>
          <w:lang w:val="uk-UA"/>
        </w:rPr>
      </w:pPr>
    </w:p>
    <w:p w14:paraId="5AFAB015" w14:textId="77777777" w:rsidR="007469BF" w:rsidRPr="004229C1" w:rsidRDefault="000B08A7" w:rsidP="00394FCC">
      <w:pPr>
        <w:pStyle w:val="Heading1"/>
        <w:rPr>
          <w:rFonts w:cs="Times New Roman"/>
          <w:lang w:val="uk-UA"/>
        </w:rPr>
      </w:pPr>
      <w:bookmarkStart w:id="27" w:name="_Toc200057401"/>
      <w:r w:rsidRPr="004229C1">
        <w:rPr>
          <w:rFonts w:cs="Times New Roman"/>
          <w:lang w:val="uk-UA"/>
        </w:rPr>
        <w:t>VI. Список посилань на регульовану інформацію, яка була розкрита протягом звітного року</w:t>
      </w:r>
      <w:bookmarkEnd w:id="27"/>
    </w:p>
    <w:p w14:paraId="49AD4D52" w14:textId="77777777" w:rsidR="0034156A" w:rsidRPr="004229C1" w:rsidRDefault="0034156A">
      <w:pPr>
        <w:widowControl w:val="0"/>
        <w:autoSpaceDE w:val="0"/>
        <w:autoSpaceDN w:val="0"/>
        <w:adjustRightInd w:val="0"/>
        <w:spacing w:after="0" w:line="240" w:lineRule="auto"/>
        <w:rPr>
          <w:rFonts w:ascii="Times New Roman" w:hAnsi="Times New Roman" w:cs="Times New Roman"/>
          <w:kern w:val="0"/>
          <w:lang w:val="uk-UA"/>
        </w:rPr>
      </w:pPr>
    </w:p>
    <w:p w14:paraId="7D1A1C16" w14:textId="77777777" w:rsidR="0034156A" w:rsidRPr="004229C1" w:rsidRDefault="0034156A" w:rsidP="00394FCC">
      <w:pPr>
        <w:pStyle w:val="Heading2"/>
        <w:rPr>
          <w:rFonts w:cs="Times New Roman"/>
          <w:lang w:val="uk-UA"/>
        </w:rPr>
      </w:pPr>
      <w:bookmarkStart w:id="28" w:name="_Toc200057402"/>
      <w:r w:rsidRPr="004229C1">
        <w:rPr>
          <w:rFonts w:cs="Times New Roman"/>
          <w:lang w:val="uk-UA"/>
        </w:rPr>
        <w:t>1. Проміжна інформація</w:t>
      </w:r>
      <w:bookmarkEnd w:id="28"/>
    </w:p>
    <w:p w14:paraId="0D575F60" w14:textId="66133359"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Проміжна інформація емітента цінних паперів за 1 квартал 202</w:t>
      </w:r>
      <w:r w:rsidR="009C6F5E"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року</w:t>
      </w:r>
    </w:p>
    <w:p w14:paraId="5495DA54"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p>
    <w:p w14:paraId="3DE03E4D" w14:textId="42A420FE" w:rsidR="0034156A" w:rsidRPr="004229C1" w:rsidRDefault="00CA3611" w:rsidP="0034156A">
      <w:pPr>
        <w:widowControl w:val="0"/>
        <w:autoSpaceDE w:val="0"/>
        <w:autoSpaceDN w:val="0"/>
        <w:adjustRightInd w:val="0"/>
        <w:spacing w:after="0" w:line="240" w:lineRule="auto"/>
        <w:rPr>
          <w:rFonts w:ascii="Times New Roman" w:hAnsi="Times New Roman" w:cs="Times New Roman"/>
          <w:kern w:val="0"/>
          <w:lang w:val="uk-UA"/>
        </w:rPr>
      </w:pPr>
      <w:hyperlink r:id="rId41" w:history="1">
        <w:r w:rsidRPr="004229C1">
          <w:rPr>
            <w:rStyle w:val="Hyperlink"/>
            <w:rFonts w:ascii="Times New Roman" w:hAnsi="Times New Roman" w:cs="Times New Roman"/>
            <w:lang w:val="uk-UA"/>
          </w:rPr>
          <w:t>https://www.pravex.com.ua/storage/files/promizhna-1-kvartal.rar</w:t>
        </w:r>
      </w:hyperlink>
      <w:r w:rsidRPr="004229C1">
        <w:rPr>
          <w:rFonts w:ascii="Times New Roman" w:hAnsi="Times New Roman" w:cs="Times New Roman"/>
          <w:lang w:val="uk-UA"/>
        </w:rPr>
        <w:t xml:space="preserve"> </w:t>
      </w:r>
    </w:p>
    <w:p w14:paraId="7EB4B652" w14:textId="37D2493D"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Проміжна інформація емітента цінних паперів за 2 квартал 202</w:t>
      </w:r>
      <w:r w:rsidR="009C6F5E"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року</w:t>
      </w:r>
    </w:p>
    <w:p w14:paraId="06284B6E"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p>
    <w:p w14:paraId="5825F78B" w14:textId="39B676BA" w:rsidR="0034156A" w:rsidRPr="004229C1" w:rsidRDefault="00CA3611" w:rsidP="0034156A">
      <w:pPr>
        <w:widowControl w:val="0"/>
        <w:autoSpaceDE w:val="0"/>
        <w:autoSpaceDN w:val="0"/>
        <w:adjustRightInd w:val="0"/>
        <w:spacing w:after="0" w:line="240" w:lineRule="auto"/>
        <w:rPr>
          <w:rFonts w:ascii="Times New Roman" w:hAnsi="Times New Roman" w:cs="Times New Roman"/>
          <w:lang w:val="uk-UA"/>
        </w:rPr>
      </w:pPr>
      <w:hyperlink r:id="rId42" w:history="1">
        <w:r w:rsidRPr="004229C1">
          <w:rPr>
            <w:rStyle w:val="Hyperlink"/>
            <w:rFonts w:ascii="Times New Roman" w:hAnsi="Times New Roman" w:cs="Times New Roman"/>
            <w:lang w:val="uk-UA"/>
          </w:rPr>
          <w:t>https://www.pravex.com.ua/storage/files/promizhna-2-kvartal.rar</w:t>
        </w:r>
      </w:hyperlink>
      <w:r w:rsidRPr="004229C1">
        <w:rPr>
          <w:rFonts w:ascii="Times New Roman" w:hAnsi="Times New Roman" w:cs="Times New Roman"/>
          <w:lang w:val="uk-UA"/>
        </w:rPr>
        <w:t xml:space="preserve"> </w:t>
      </w:r>
    </w:p>
    <w:p w14:paraId="10998D08" w14:textId="77777777" w:rsidR="00CA3611" w:rsidRPr="004229C1" w:rsidRDefault="00CA3611" w:rsidP="0034156A">
      <w:pPr>
        <w:widowControl w:val="0"/>
        <w:autoSpaceDE w:val="0"/>
        <w:autoSpaceDN w:val="0"/>
        <w:adjustRightInd w:val="0"/>
        <w:spacing w:after="0" w:line="240" w:lineRule="auto"/>
        <w:rPr>
          <w:rFonts w:ascii="Times New Roman" w:hAnsi="Times New Roman" w:cs="Times New Roman"/>
          <w:kern w:val="0"/>
          <w:lang w:val="uk-UA"/>
        </w:rPr>
      </w:pPr>
    </w:p>
    <w:p w14:paraId="2A4222A4" w14:textId="41FA9A72"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Проміжна інформація емітента цінних паперів за 3 квартал 202</w:t>
      </w:r>
      <w:r w:rsidR="009C6F5E"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року</w:t>
      </w:r>
    </w:p>
    <w:p w14:paraId="7D01A7C8"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p>
    <w:p w14:paraId="744740B2" w14:textId="72DB71B4" w:rsidR="0034156A" w:rsidRPr="004229C1" w:rsidRDefault="00CA3611" w:rsidP="0034156A">
      <w:pPr>
        <w:widowControl w:val="0"/>
        <w:autoSpaceDE w:val="0"/>
        <w:autoSpaceDN w:val="0"/>
        <w:adjustRightInd w:val="0"/>
        <w:spacing w:after="0" w:line="240" w:lineRule="auto"/>
        <w:rPr>
          <w:rFonts w:ascii="Times New Roman" w:hAnsi="Times New Roman" w:cs="Times New Roman"/>
          <w:lang w:val="uk-UA"/>
        </w:rPr>
      </w:pPr>
      <w:hyperlink r:id="rId43" w:history="1">
        <w:r w:rsidRPr="004229C1">
          <w:rPr>
            <w:rStyle w:val="Hyperlink"/>
            <w:rFonts w:ascii="Times New Roman" w:hAnsi="Times New Roman" w:cs="Times New Roman"/>
            <w:lang w:val="uk-UA"/>
          </w:rPr>
          <w:t>https://www.pravex.com.ua/storage/files/promizhna-3-kv.rar</w:t>
        </w:r>
      </w:hyperlink>
      <w:r w:rsidRPr="004229C1">
        <w:rPr>
          <w:rFonts w:ascii="Times New Roman" w:hAnsi="Times New Roman" w:cs="Times New Roman"/>
          <w:lang w:val="uk-UA"/>
        </w:rPr>
        <w:t xml:space="preserve"> </w:t>
      </w:r>
    </w:p>
    <w:p w14:paraId="67DEE0F6" w14:textId="77777777" w:rsidR="00CA3611" w:rsidRPr="004229C1" w:rsidRDefault="00CA3611" w:rsidP="0034156A">
      <w:pPr>
        <w:widowControl w:val="0"/>
        <w:autoSpaceDE w:val="0"/>
        <w:autoSpaceDN w:val="0"/>
        <w:adjustRightInd w:val="0"/>
        <w:spacing w:after="0" w:line="240" w:lineRule="auto"/>
        <w:rPr>
          <w:rFonts w:ascii="Times New Roman" w:hAnsi="Times New Roman" w:cs="Times New Roman"/>
          <w:kern w:val="0"/>
          <w:lang w:val="uk-UA"/>
        </w:rPr>
      </w:pPr>
    </w:p>
    <w:p w14:paraId="776668FE" w14:textId="1EE240E8"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r w:rsidRPr="004229C1">
        <w:rPr>
          <w:rFonts w:ascii="Times New Roman" w:hAnsi="Times New Roman" w:cs="Times New Roman"/>
          <w:kern w:val="0"/>
          <w:lang w:val="uk-UA"/>
        </w:rPr>
        <w:t>Проміжна інформація емітента цінних паперів за 4 квартал 202</w:t>
      </w:r>
      <w:r w:rsidR="009C6F5E" w:rsidRPr="004229C1">
        <w:rPr>
          <w:rFonts w:ascii="Times New Roman" w:hAnsi="Times New Roman" w:cs="Times New Roman"/>
          <w:kern w:val="0"/>
          <w:lang w:val="uk-UA"/>
        </w:rPr>
        <w:t>4</w:t>
      </w:r>
      <w:r w:rsidRPr="004229C1">
        <w:rPr>
          <w:rFonts w:ascii="Times New Roman" w:hAnsi="Times New Roman" w:cs="Times New Roman"/>
          <w:kern w:val="0"/>
          <w:lang w:val="uk-UA"/>
        </w:rPr>
        <w:t xml:space="preserve"> року</w:t>
      </w:r>
    </w:p>
    <w:p w14:paraId="7C6D5216"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lang w:val="uk-UA"/>
        </w:rPr>
      </w:pPr>
    </w:p>
    <w:p w14:paraId="171A0DB3" w14:textId="7B6346B8" w:rsidR="0034156A" w:rsidRPr="004229C1" w:rsidRDefault="00CA3611" w:rsidP="0034156A">
      <w:pPr>
        <w:widowControl w:val="0"/>
        <w:autoSpaceDE w:val="0"/>
        <w:autoSpaceDN w:val="0"/>
        <w:adjustRightInd w:val="0"/>
        <w:spacing w:after="0" w:line="240" w:lineRule="auto"/>
        <w:rPr>
          <w:rFonts w:ascii="Times New Roman" w:hAnsi="Times New Roman" w:cs="Times New Roman"/>
          <w:lang w:val="uk-UA"/>
        </w:rPr>
      </w:pPr>
      <w:hyperlink r:id="rId44" w:history="1">
        <w:r w:rsidRPr="004229C1">
          <w:rPr>
            <w:rStyle w:val="Hyperlink"/>
            <w:rFonts w:ascii="Times New Roman" w:hAnsi="Times New Roman" w:cs="Times New Roman"/>
            <w:lang w:val="uk-UA"/>
          </w:rPr>
          <w:t>https://www.pravex.com.ua/storage/files/promizhna-4-kv.rar</w:t>
        </w:r>
      </w:hyperlink>
      <w:r w:rsidRPr="004229C1">
        <w:rPr>
          <w:rFonts w:ascii="Times New Roman" w:hAnsi="Times New Roman" w:cs="Times New Roman"/>
          <w:lang w:val="uk-UA"/>
        </w:rPr>
        <w:t xml:space="preserve"> </w:t>
      </w:r>
    </w:p>
    <w:p w14:paraId="60C2E332" w14:textId="77777777" w:rsidR="00CA3611" w:rsidRPr="004229C1" w:rsidRDefault="00CA3611" w:rsidP="0034156A">
      <w:pPr>
        <w:widowControl w:val="0"/>
        <w:autoSpaceDE w:val="0"/>
        <w:autoSpaceDN w:val="0"/>
        <w:adjustRightInd w:val="0"/>
        <w:spacing w:after="0" w:line="240" w:lineRule="auto"/>
        <w:rPr>
          <w:rFonts w:ascii="Times New Roman" w:hAnsi="Times New Roman" w:cs="Times New Roman"/>
          <w:kern w:val="0"/>
          <w:lang w:val="uk-UA"/>
        </w:rPr>
      </w:pPr>
    </w:p>
    <w:p w14:paraId="3C7D0A0E" w14:textId="459CC703" w:rsidR="0034156A" w:rsidRPr="004229C1" w:rsidRDefault="0034156A" w:rsidP="00394FCC">
      <w:pPr>
        <w:pStyle w:val="Heading2"/>
        <w:rPr>
          <w:rFonts w:cs="Times New Roman"/>
          <w:lang w:val="uk-UA"/>
        </w:rPr>
      </w:pPr>
      <w:bookmarkStart w:id="29" w:name="_Toc200057403"/>
      <w:r w:rsidRPr="004229C1">
        <w:rPr>
          <w:rFonts w:cs="Times New Roman"/>
          <w:lang w:val="uk-UA"/>
        </w:rPr>
        <w:t>2. Особлива інформація</w:t>
      </w:r>
      <w:bookmarkEnd w:id="29"/>
    </w:p>
    <w:tbl>
      <w:tblPr>
        <w:tblW w:w="5000" w:type="pct"/>
        <w:tblCellMar>
          <w:left w:w="0" w:type="dxa"/>
          <w:right w:w="0" w:type="dxa"/>
        </w:tblCellMar>
        <w:tblLook w:val="04A0" w:firstRow="1" w:lastRow="0" w:firstColumn="1" w:lastColumn="0" w:noHBand="0" w:noVBand="1"/>
      </w:tblPr>
      <w:tblGrid>
        <w:gridCol w:w="380"/>
        <w:gridCol w:w="3002"/>
        <w:gridCol w:w="1541"/>
        <w:gridCol w:w="5532"/>
      </w:tblGrid>
      <w:tr w:rsidR="0034156A" w:rsidRPr="004229C1" w14:paraId="2FB656A1"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23F782F2"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 з/п</w:t>
            </w:r>
          </w:p>
        </w:tc>
        <w:tc>
          <w:tcPr>
            <w:tcW w:w="1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696738CE"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Вид особливої інформації</w:t>
            </w:r>
          </w:p>
        </w:tc>
        <w:tc>
          <w:tcPr>
            <w:tcW w:w="73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37FB2E33"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Дата розкриття інформації</w:t>
            </w:r>
          </w:p>
        </w:tc>
        <w:tc>
          <w:tcPr>
            <w:tcW w:w="264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3A281B91"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URL-адреси, за якими розміщена інформація, яка розкривалася протягом звітного року</w:t>
            </w:r>
          </w:p>
        </w:tc>
      </w:tr>
      <w:tr w:rsidR="0034156A" w:rsidRPr="004229C1" w14:paraId="7F074E7B"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012626E0"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2FADFE52"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73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41026A4E"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264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hideMark/>
          </w:tcPr>
          <w:p w14:paraId="14B50180"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r>
      <w:tr w:rsidR="0034156A" w:rsidRPr="004229C1" w14:paraId="1F39444A"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5AD3B8" w14:textId="4F8561D2"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9309A" w14:textId="74C724CD" w:rsidR="0034156A" w:rsidRPr="004229C1" w:rsidRDefault="00124344"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261779" w14:textId="6C66EB83" w:rsidR="0034156A" w:rsidRPr="004229C1" w:rsidRDefault="00124344"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w:t>
            </w:r>
            <w:r w:rsidR="0034156A" w:rsidRPr="004229C1">
              <w:rPr>
                <w:rFonts w:ascii="Times New Roman" w:hAnsi="Times New Roman" w:cs="Times New Roman"/>
                <w:kern w:val="0"/>
                <w:sz w:val="22"/>
                <w:szCs w:val="22"/>
                <w:lang w:val="uk-UA"/>
              </w:rPr>
              <w:t>.0</w:t>
            </w:r>
            <w:r w:rsidRPr="004229C1">
              <w:rPr>
                <w:rFonts w:ascii="Times New Roman" w:hAnsi="Times New Roman" w:cs="Times New Roman"/>
                <w:kern w:val="0"/>
                <w:sz w:val="22"/>
                <w:szCs w:val="22"/>
                <w:lang w:val="uk-UA"/>
              </w:rPr>
              <w:t>2</w:t>
            </w:r>
            <w:r w:rsidR="0034156A" w:rsidRPr="004229C1">
              <w:rPr>
                <w:rFonts w:ascii="Times New Roman" w:hAnsi="Times New Roman" w:cs="Times New Roman"/>
                <w:kern w:val="0"/>
                <w:sz w:val="22"/>
                <w:szCs w:val="22"/>
                <w:lang w:val="uk-UA"/>
              </w:rPr>
              <w:t>.202</w:t>
            </w:r>
            <w:r w:rsidRPr="004229C1">
              <w:rPr>
                <w:rFonts w:ascii="Times New Roman" w:hAnsi="Times New Roman" w:cs="Times New Roman"/>
                <w:kern w:val="0"/>
                <w:sz w:val="22"/>
                <w:szCs w:val="22"/>
                <w:lang w:val="uk-UA"/>
              </w:rPr>
              <w:t>4</w:t>
            </w:r>
          </w:p>
          <w:p w14:paraId="454A8054" w14:textId="77777777"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29DE12" w14:textId="2BE756B7"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lang w:val="uk-UA"/>
              </w:rPr>
              <w:t>https://www.pravex.com.ua/storage/files/vidomosti-pro-zminu-skladu-posadovih-osib-emitenta-tekst-pov_1706807257.pdf</w:t>
            </w:r>
          </w:p>
        </w:tc>
      </w:tr>
      <w:tr w:rsidR="0034156A" w:rsidRPr="004229C1" w14:paraId="144EAABA"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FB4A74" w14:textId="15CADD3E"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6434AE" w14:textId="49107D0B"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45F0D2" w14:textId="62A18403"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13.02.2024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347A8F" w14:textId="2F660E03"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https://www.pravex.com.ua/storage/files/vidomosti-pro-zminu-skladu-posadovih-osib-emitenta-tekst-pov_1707853151.pdf</w:t>
            </w:r>
          </w:p>
        </w:tc>
      </w:tr>
      <w:tr w:rsidR="0034156A" w:rsidRPr="004229C1" w14:paraId="3C31DDB4"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853575" w14:textId="4735D22E"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609807" w14:textId="7350FFDC"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рішення емітента про утворення, припинення його філій, представництв </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B52C2C" w14:textId="1329C283"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19.02.2024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6C4F7B" w14:textId="6BD0FE76"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https://www.pravex.com.ua/storage/files/povidomlennya-pro-rishennya-emitenta-pro-utvorennya-pripinen.pdf</w:t>
            </w:r>
          </w:p>
        </w:tc>
      </w:tr>
      <w:tr w:rsidR="0034156A" w:rsidRPr="004229C1" w14:paraId="0DF71543"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29E8F7" w14:textId="37118F59"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4</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B3096" w14:textId="4E7F24FC"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 Недостовірна інформація</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E3B0B3" w14:textId="2A449DD2"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01.03.2024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FEA46F" w14:textId="0F9852C4"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https://www.pravex.com.ua/storage/files/information-about-changes-in-the-composition-of-the-issuers.7z</w:t>
            </w:r>
          </w:p>
        </w:tc>
      </w:tr>
      <w:tr w:rsidR="0034156A" w:rsidRPr="004229C1" w14:paraId="32FA03C9"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CC5864" w14:textId="6AD22D59" w:rsidR="0034156A" w:rsidRPr="004229C1" w:rsidRDefault="0034156A"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5</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67D789" w14:textId="6D64A4B6"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Повідомлення про розкриття недостовірної регульованої інформації</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C46921" w14:textId="7E740F21"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05.03.2024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01DFF9" w14:textId="16F1A9DD" w:rsidR="0034156A" w:rsidRPr="004229C1" w:rsidRDefault="00F4172C" w:rsidP="0034156A">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https://www.pravex.com.ua/storage/files/sprostuvannya-05-03.rar</w:t>
            </w:r>
          </w:p>
        </w:tc>
      </w:tr>
      <w:tr w:rsidR="00F4172C" w:rsidRPr="004229C1" w14:paraId="79B06499"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FE9508" w14:textId="7F3C3ABF"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6</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A84652" w14:textId="5617F5D6"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9E9FB7" w14:textId="79B086A9"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05.03.2024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6206ED" w14:textId="37247DA0"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https://www.pravex.com.ua/storage/files/14360920-report-4.rar</w:t>
            </w:r>
          </w:p>
        </w:tc>
      </w:tr>
      <w:tr w:rsidR="00F4172C" w:rsidRPr="004229C1" w14:paraId="40C4F2A5"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67641B" w14:textId="09929380"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7</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781E99" w14:textId="3FDD7829"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Повідомлення щодо несвоєчасного розкриття регульованої інформації</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3AB5AA" w14:textId="7989A1F8"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580BAF" w14:textId="34FFB7E1"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https://www.pravex.com.ua/storage/files/povidomlennya.rar</w:t>
            </w:r>
          </w:p>
        </w:tc>
      </w:tr>
      <w:tr w:rsidR="00F4172C" w:rsidRPr="004229C1" w14:paraId="1347B124"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E7F6F5" w14:textId="5BAF8F0F"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8</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F9E733" w14:textId="0BECF199"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прийняття рішення про розміщення цінних паперів на суму, що перевищує 25 відсотків статутного капіталу</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277356" w14:textId="190E66D0"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01.04.2024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805B9E" w14:textId="2D6526FD"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https://www.pravex.com.ua/storage/files/vidomosti.rar</w:t>
            </w:r>
          </w:p>
        </w:tc>
      </w:tr>
      <w:tr w:rsidR="00F4172C" w:rsidRPr="004229C1" w14:paraId="4634B492"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71D21B" w14:textId="6CEA1688"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9</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961606" w14:textId="6DBF95ED"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Інформація про затвердження звіту про винагороду членів Правління та впливових осіб</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D7B134" w14:textId="3C9E3BD0"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05.04.2024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B60D9A" w14:textId="10AA6578"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https://www.pravex.com.ua/storage/files/report.rar</w:t>
            </w:r>
          </w:p>
        </w:tc>
      </w:tr>
      <w:tr w:rsidR="00F4172C" w:rsidRPr="004229C1" w14:paraId="421B10C9"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AF04FD" w14:textId="04839EA7"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10</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5F48E9" w14:textId="0F072CAA"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7CD4CF" w14:textId="5465E758"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23.04.2024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FCCB97" w14:textId="6D5F844B"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https://www.pravex.com.ua/storage/files/23_1713943212.zip</w:t>
            </w:r>
          </w:p>
        </w:tc>
      </w:tr>
      <w:tr w:rsidR="00F4172C" w:rsidRPr="004229C1" w14:paraId="62195F31"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E0ADD9" w14:textId="04B3A0DC"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11</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7A0D43" w14:textId="076D9577"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Інформація про затвердження звіту про винагороду членів Наглядової Ради</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5B9C5B" w14:textId="110E3FE6"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23.04.2024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8A20CF" w14:textId="5FD7331E"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https://www.pravex.com.ua/storage/files/23_1713943270.zip</w:t>
            </w:r>
          </w:p>
        </w:tc>
      </w:tr>
      <w:tr w:rsidR="00F4172C" w:rsidRPr="004229C1" w14:paraId="67DAE619"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226CA5" w14:textId="70BC5409"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12</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EDFE4" w14:textId="51E6706B"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D00186" w14:textId="0A93C25C"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23.04.2024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D74767" w14:textId="7A279881"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https://www.pravex.com.ua/storage/files/23_1713943320.zip</w:t>
            </w:r>
          </w:p>
        </w:tc>
      </w:tr>
      <w:tr w:rsidR="00F4172C" w:rsidRPr="004229C1" w14:paraId="249BAF6C"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E5BBB" w14:textId="46346D55"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13</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81F85D" w14:textId="10F21901"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зміну складу посадових осіб емітента</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21E30D" w14:textId="58F14A5C"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30.07.2024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102657" w14:textId="3C1FCBD8"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https://www.pravex.com.ua/storage/files/vidomosti-pro-zminu-skladu-pos-osib-30.rar</w:t>
            </w:r>
          </w:p>
        </w:tc>
      </w:tr>
      <w:tr w:rsidR="00F4172C" w:rsidRPr="008E6233" w14:paraId="17EE0B68" w14:textId="77777777" w:rsidTr="00F4172C">
        <w:trPr>
          <w:trHeight w:val="60"/>
        </w:trPr>
        <w:tc>
          <w:tcPr>
            <w:tcW w:w="18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F260E8" w14:textId="63D3B49D"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14</w:t>
            </w:r>
          </w:p>
        </w:tc>
        <w:tc>
          <w:tcPr>
            <w:tcW w:w="143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7C78A6" w14:textId="24036614"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Відомості про кількість голосуючих акцій та розмір статутного капіталу за результатами його збільшення або зменшення</w:t>
            </w:r>
          </w:p>
        </w:tc>
        <w:tc>
          <w:tcPr>
            <w:tcW w:w="73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2D6661" w14:textId="0201391F" w:rsidR="00F4172C" w:rsidRPr="004229C1"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29.08.2024</w:t>
            </w:r>
          </w:p>
        </w:tc>
        <w:tc>
          <w:tcPr>
            <w:tcW w:w="264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BD4433" w14:textId="1F4D0317" w:rsidR="00F4172C" w:rsidRPr="008E6233" w:rsidRDefault="00F4172C" w:rsidP="00F4172C">
            <w:pPr>
              <w:widowControl w:val="0"/>
              <w:autoSpaceDE w:val="0"/>
              <w:autoSpaceDN w:val="0"/>
              <w:adjustRightInd w:val="0"/>
              <w:spacing w:after="0" w:line="240" w:lineRule="auto"/>
              <w:rPr>
                <w:rFonts w:ascii="Times New Roman" w:hAnsi="Times New Roman" w:cs="Times New Roman"/>
                <w:kern w:val="0"/>
                <w:sz w:val="22"/>
                <w:szCs w:val="22"/>
                <w:lang w:val="uk-UA"/>
              </w:rPr>
            </w:pPr>
            <w:r w:rsidRPr="004229C1">
              <w:rPr>
                <w:rFonts w:ascii="Times New Roman" w:hAnsi="Times New Roman" w:cs="Times New Roman"/>
                <w:kern w:val="0"/>
                <w:sz w:val="22"/>
                <w:szCs w:val="22"/>
                <w:lang w:val="uk-UA"/>
              </w:rPr>
              <w:t>https://www.pravex.com.ua/storage/files/29.rar</w:t>
            </w:r>
          </w:p>
        </w:tc>
      </w:tr>
    </w:tbl>
    <w:p w14:paraId="72FD8600" w14:textId="77777777" w:rsidR="0034156A" w:rsidRPr="008E6233" w:rsidRDefault="0034156A" w:rsidP="0034156A">
      <w:pPr>
        <w:widowControl w:val="0"/>
        <w:autoSpaceDE w:val="0"/>
        <w:autoSpaceDN w:val="0"/>
        <w:adjustRightInd w:val="0"/>
        <w:spacing w:after="0" w:line="240" w:lineRule="auto"/>
        <w:rPr>
          <w:rFonts w:ascii="Times New Roman" w:hAnsi="Times New Roman" w:cs="Times New Roman"/>
          <w:kern w:val="0"/>
          <w:lang w:val="uk-UA"/>
        </w:rPr>
      </w:pPr>
    </w:p>
    <w:p w14:paraId="37ED661F" w14:textId="77777777" w:rsidR="00A337DB" w:rsidRPr="008E6233" w:rsidRDefault="00A337DB" w:rsidP="0034156A">
      <w:pPr>
        <w:widowControl w:val="0"/>
        <w:autoSpaceDE w:val="0"/>
        <w:autoSpaceDN w:val="0"/>
        <w:adjustRightInd w:val="0"/>
        <w:spacing w:after="0" w:line="240" w:lineRule="auto"/>
        <w:rPr>
          <w:rFonts w:ascii="Times New Roman" w:hAnsi="Times New Roman" w:cs="Times New Roman"/>
          <w:kern w:val="0"/>
          <w:lang w:val="uk-UA"/>
        </w:rPr>
      </w:pPr>
    </w:p>
    <w:sectPr w:rsidR="00A337DB" w:rsidRPr="008E6233">
      <w:pgSz w:w="11905" w:h="16837" w:orient="landscape"/>
      <w:pgMar w:top="570" w:right="720" w:bottom="57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EYInterstate Light">
    <w:altName w:val="Calibri"/>
    <w:charset w:val="00"/>
    <w:family w:val="auto"/>
    <w:pitch w:val="variable"/>
    <w:sig w:usb0="A00002AF" w:usb1="5000206A"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HelveticaNeueCyr">
    <w:altName w:val="Arial"/>
    <w:panose1 w:val="00000000000000000000"/>
    <w:charset w:val="CC"/>
    <w:family w:val="roman"/>
    <w:notTrueType/>
    <w:pitch w:val="default"/>
    <w:sig w:usb0="00000201" w:usb1="00000000" w:usb2="00000000" w:usb3="00000000" w:csb0="00000004" w:csb1="00000000"/>
  </w:font>
  <w:font w:name="Aptos Display">
    <w:charset w:val="00"/>
    <w:family w:val="swiss"/>
    <w:pitch w:val="variable"/>
    <w:sig w:usb0="20000287" w:usb1="00000003" w:usb2="00000000" w:usb3="00000000" w:csb0="0000019F" w:csb1="00000000"/>
  </w:font>
  <w:font w:name="EYInterstate">
    <w:altName w:val="Calibri"/>
    <w:charset w:val="00"/>
    <w:family w:val="auto"/>
    <w:pitch w:val="variable"/>
    <w:sig w:usb0="800000AF" w:usb1="5000204A" w:usb2="00000000" w:usb3="00000000" w:csb0="0000009F" w:csb1="00000000"/>
  </w:font>
  <w:font w:name="Pragmatica-BoldObl">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6B0E"/>
    <w:multiLevelType w:val="hybridMultilevel"/>
    <w:tmpl w:val="7F6E42A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7032F93"/>
    <w:multiLevelType w:val="hybridMultilevel"/>
    <w:tmpl w:val="C9928C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0E5F43"/>
    <w:multiLevelType w:val="hybridMultilevel"/>
    <w:tmpl w:val="A7B69C44"/>
    <w:lvl w:ilvl="0" w:tplc="FFFFFFFF">
      <w:start w:val="3"/>
      <w:numFmt w:val="bullet"/>
      <w:lvlText w:val="-"/>
      <w:lvlJc w:val="left"/>
      <w:pPr>
        <w:ind w:left="360" w:hanging="360"/>
      </w:pPr>
      <w:rPr>
        <w:rFonts w:ascii="Garamond" w:eastAsia="Times New Roman" w:hAnsi="Garamond" w:cs="Times New Roman" w:hint="default"/>
      </w:rPr>
    </w:lvl>
    <w:lvl w:ilvl="1" w:tplc="C7B4F888">
      <w:start w:val="5"/>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A9C42C5"/>
    <w:multiLevelType w:val="multilevel"/>
    <w:tmpl w:val="94B0C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F7653"/>
    <w:multiLevelType w:val="hybridMultilevel"/>
    <w:tmpl w:val="0846C4C4"/>
    <w:lvl w:ilvl="0" w:tplc="6DF24B00">
      <w:start w:val="3"/>
      <w:numFmt w:val="bullet"/>
      <w:lvlText w:val="-"/>
      <w:lvlJc w:val="left"/>
      <w:pPr>
        <w:ind w:left="360" w:hanging="360"/>
      </w:pPr>
      <w:rPr>
        <w:rFonts w:ascii="Garamond" w:eastAsia="Times New Roman" w:hAnsi="Garamond" w:cs="Times New Roman" w:hint="default"/>
      </w:rPr>
    </w:lvl>
    <w:lvl w:ilvl="1" w:tplc="94144C80">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BAA1943"/>
    <w:multiLevelType w:val="hybridMultilevel"/>
    <w:tmpl w:val="8DF0B76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C9D0349"/>
    <w:multiLevelType w:val="hybridMultilevel"/>
    <w:tmpl w:val="6FAEE79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FDD3421"/>
    <w:multiLevelType w:val="hybridMultilevel"/>
    <w:tmpl w:val="1F0672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48975F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C55DBD"/>
    <w:multiLevelType w:val="hybridMultilevel"/>
    <w:tmpl w:val="EB360A2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4B3244"/>
    <w:multiLevelType w:val="hybridMultilevel"/>
    <w:tmpl w:val="45A644AA"/>
    <w:lvl w:ilvl="0" w:tplc="CC38FB80">
      <w:numFmt w:val="bullet"/>
      <w:lvlText w:val="-"/>
      <w:lvlJc w:val="left"/>
      <w:pPr>
        <w:ind w:left="874" w:hanging="360"/>
      </w:pPr>
      <w:rPr>
        <w:rFonts w:ascii="Calibri" w:eastAsia="Calibri" w:hAnsi="Calibri" w:cs="Calibri" w:hint="default"/>
      </w:rPr>
    </w:lvl>
    <w:lvl w:ilvl="1" w:tplc="04090003">
      <w:start w:val="1"/>
      <w:numFmt w:val="bullet"/>
      <w:lvlText w:val="o"/>
      <w:lvlJc w:val="left"/>
      <w:pPr>
        <w:ind w:left="1594" w:hanging="360"/>
      </w:pPr>
      <w:rPr>
        <w:rFonts w:ascii="Courier New" w:hAnsi="Courier New" w:cs="Courier New"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Courier New"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Courier New" w:hint="default"/>
      </w:rPr>
    </w:lvl>
    <w:lvl w:ilvl="8" w:tplc="04090005" w:tentative="1">
      <w:start w:val="1"/>
      <w:numFmt w:val="bullet"/>
      <w:lvlText w:val=""/>
      <w:lvlJc w:val="left"/>
      <w:pPr>
        <w:ind w:left="6634" w:hanging="360"/>
      </w:pPr>
      <w:rPr>
        <w:rFonts w:ascii="Wingdings" w:hAnsi="Wingdings" w:hint="default"/>
      </w:rPr>
    </w:lvl>
  </w:abstractNum>
  <w:abstractNum w:abstractNumId="11" w15:restartNumberingAfterBreak="0">
    <w:nsid w:val="1E171441"/>
    <w:multiLevelType w:val="hybridMultilevel"/>
    <w:tmpl w:val="8BCA4FE2"/>
    <w:lvl w:ilvl="0" w:tplc="94144C80">
      <w:numFmt w:val="bullet"/>
      <w:lvlText w:val="-"/>
      <w:lvlJc w:val="left"/>
      <w:pPr>
        <w:ind w:left="360" w:hanging="360"/>
      </w:pPr>
      <w:rPr>
        <w:rFonts w:ascii="Times New Roman" w:eastAsia="Times New Roman" w:hAnsi="Times New Roman" w:cs="Times New Roman" w:hint="default"/>
      </w:rPr>
    </w:lvl>
    <w:lvl w:ilvl="1" w:tplc="0C000003" w:tentative="1">
      <w:start w:val="1"/>
      <w:numFmt w:val="bullet"/>
      <w:lvlText w:val="o"/>
      <w:lvlJc w:val="left"/>
      <w:pPr>
        <w:ind w:left="1080" w:hanging="360"/>
      </w:pPr>
      <w:rPr>
        <w:rFonts w:ascii="Courier New" w:hAnsi="Courier New" w:cs="Courier New" w:hint="default"/>
      </w:rPr>
    </w:lvl>
    <w:lvl w:ilvl="2" w:tplc="0C000005">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2" w15:restartNumberingAfterBreak="0">
    <w:nsid w:val="1FFA7B58"/>
    <w:multiLevelType w:val="hybridMultilevel"/>
    <w:tmpl w:val="243A204E"/>
    <w:lvl w:ilvl="0" w:tplc="98B044AE">
      <w:start w:val="1"/>
      <w:numFmt w:val="bullet"/>
      <w:lvlText w:val="-"/>
      <w:lvlJc w:val="left"/>
      <w:pPr>
        <w:ind w:left="360" w:hanging="360"/>
      </w:pPr>
      <w:rPr>
        <w:rFonts w:ascii="Arial" w:eastAsia="Times New Roman" w:hAnsi="Arial" w:cs="Arial"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27F7759E"/>
    <w:multiLevelType w:val="hybridMultilevel"/>
    <w:tmpl w:val="82E4D5B6"/>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14" w15:restartNumberingAfterBreak="0">
    <w:nsid w:val="28F463D4"/>
    <w:multiLevelType w:val="hybridMultilevel"/>
    <w:tmpl w:val="17BCE7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49494D"/>
    <w:multiLevelType w:val="hybridMultilevel"/>
    <w:tmpl w:val="CC6CEAC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D71006"/>
    <w:multiLevelType w:val="hybridMultilevel"/>
    <w:tmpl w:val="EF149C5A"/>
    <w:lvl w:ilvl="0" w:tplc="CC38FB80">
      <w:numFmt w:val="bullet"/>
      <w:lvlText w:val="-"/>
      <w:lvlJc w:val="left"/>
      <w:pPr>
        <w:ind w:left="720" w:hanging="360"/>
      </w:pPr>
      <w:rPr>
        <w:rFonts w:ascii="Calibri" w:eastAsia="Calibri" w:hAnsi="Calibri" w:cs="Calibr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31F704C9"/>
    <w:multiLevelType w:val="hybridMultilevel"/>
    <w:tmpl w:val="FFFFFFFF"/>
    <w:lvl w:ilvl="0" w:tplc="0C00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F1069C"/>
    <w:multiLevelType w:val="hybridMultilevel"/>
    <w:tmpl w:val="FFFFFFFF"/>
    <w:lvl w:ilvl="0" w:tplc="0C00000D">
      <w:start w:val="1"/>
      <w:numFmt w:val="bullet"/>
      <w:lvlText w:val=""/>
      <w:lvlJc w:val="left"/>
      <w:pPr>
        <w:ind w:left="775" w:hanging="360"/>
      </w:pPr>
      <w:rPr>
        <w:rFonts w:ascii="Wingdings" w:hAnsi="Wingdings" w:hint="default"/>
      </w:rPr>
    </w:lvl>
    <w:lvl w:ilvl="1" w:tplc="08090003" w:tentative="1">
      <w:start w:val="1"/>
      <w:numFmt w:val="bullet"/>
      <w:lvlText w:val="o"/>
      <w:lvlJc w:val="left"/>
      <w:pPr>
        <w:ind w:left="1495" w:hanging="360"/>
      </w:pPr>
      <w:rPr>
        <w:rFonts w:ascii="Courier New" w:hAnsi="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9" w15:restartNumberingAfterBreak="0">
    <w:nsid w:val="34973EBF"/>
    <w:multiLevelType w:val="hybridMultilevel"/>
    <w:tmpl w:val="EC121EE0"/>
    <w:lvl w:ilvl="0" w:tplc="E5E8A2E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E154BA"/>
    <w:multiLevelType w:val="hybridMultilevel"/>
    <w:tmpl w:val="791A3A9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6CF6EC1"/>
    <w:multiLevelType w:val="hybridMultilevel"/>
    <w:tmpl w:val="BB30C3AC"/>
    <w:lvl w:ilvl="0" w:tplc="CC38FB80">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76B32DB"/>
    <w:multiLevelType w:val="hybridMultilevel"/>
    <w:tmpl w:val="FFFFFFFF"/>
    <w:lvl w:ilvl="0" w:tplc="CC38FB80">
      <w:numFmt w:val="bullet"/>
      <w:lvlText w:val="-"/>
      <w:lvlJc w:val="left"/>
      <w:pPr>
        <w:ind w:left="720" w:hanging="360"/>
      </w:pPr>
      <w:rPr>
        <w:rFonts w:ascii="Calibri" w:eastAsia="Times New Roman" w:hAnsi="Calibri" w:hint="default"/>
      </w:rPr>
    </w:lvl>
    <w:lvl w:ilvl="1" w:tplc="0C000003">
      <w:start w:val="1"/>
      <w:numFmt w:val="bullet"/>
      <w:lvlText w:val="o"/>
      <w:lvlJc w:val="left"/>
      <w:pPr>
        <w:ind w:left="1440" w:hanging="360"/>
      </w:pPr>
      <w:rPr>
        <w:rFonts w:ascii="Courier New" w:hAnsi="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3922120A"/>
    <w:multiLevelType w:val="hybridMultilevel"/>
    <w:tmpl w:val="FFFFFFFF"/>
    <w:lvl w:ilvl="0" w:tplc="0C00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B877DB"/>
    <w:multiLevelType w:val="hybridMultilevel"/>
    <w:tmpl w:val="F146C39A"/>
    <w:lvl w:ilvl="0" w:tplc="E438D0F4">
      <w:start w:val="1"/>
      <w:numFmt w:val="bullet"/>
      <w:lvlText w:val="•"/>
      <w:lvlJc w:val="left"/>
      <w:pPr>
        <w:tabs>
          <w:tab w:val="num" w:pos="720"/>
        </w:tabs>
        <w:ind w:left="720" w:hanging="360"/>
      </w:pPr>
      <w:rPr>
        <w:rFonts w:ascii="EYInterstate Light" w:hAnsi="EYInterstate Ligh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A11E61"/>
    <w:multiLevelType w:val="hybridMultilevel"/>
    <w:tmpl w:val="3E604462"/>
    <w:lvl w:ilvl="0" w:tplc="CC38FB80">
      <w:numFmt w:val="bullet"/>
      <w:lvlText w:val="-"/>
      <w:lvlJc w:val="left"/>
      <w:pPr>
        <w:ind w:left="720" w:hanging="360"/>
      </w:pPr>
      <w:rPr>
        <w:rFonts w:ascii="Calibri" w:eastAsia="Calibri" w:hAnsi="Calibri" w:cs="Calibri" w:hint="default"/>
      </w:rPr>
    </w:lvl>
    <w:lvl w:ilvl="1" w:tplc="D58CE480">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4B35C58"/>
    <w:multiLevelType w:val="hybridMultilevel"/>
    <w:tmpl w:val="FFFFFFFF"/>
    <w:lvl w:ilvl="0" w:tplc="0C00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2C12AC"/>
    <w:multiLevelType w:val="hybridMultilevel"/>
    <w:tmpl w:val="21647290"/>
    <w:lvl w:ilvl="0" w:tplc="CC38FB80">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DB3DB5"/>
    <w:multiLevelType w:val="hybridMultilevel"/>
    <w:tmpl w:val="1A8A9C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4E991486"/>
    <w:multiLevelType w:val="hybridMultilevel"/>
    <w:tmpl w:val="328A1EE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5F7129D6"/>
    <w:multiLevelType w:val="hybridMultilevel"/>
    <w:tmpl w:val="4AB69C7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5FCE1EEA"/>
    <w:multiLevelType w:val="hybridMultilevel"/>
    <w:tmpl w:val="7484698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2" w15:restartNumberingAfterBreak="0">
    <w:nsid w:val="6066631E"/>
    <w:multiLevelType w:val="hybridMultilevel"/>
    <w:tmpl w:val="8AA43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6D3558"/>
    <w:multiLevelType w:val="hybridMultilevel"/>
    <w:tmpl w:val="6D247CA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64334B11"/>
    <w:multiLevelType w:val="hybridMultilevel"/>
    <w:tmpl w:val="3998DBCA"/>
    <w:lvl w:ilvl="0" w:tplc="66CC28EA">
      <w:start w:val="1"/>
      <w:numFmt w:val="bullet"/>
      <w:lvlText w:val="-"/>
      <w:lvlJc w:val="left"/>
      <w:pPr>
        <w:ind w:left="360" w:hanging="360"/>
      </w:pPr>
      <w:rPr>
        <w:rFonts w:ascii="Arial" w:eastAsia="Times New Roman" w:hAnsi="Arial" w:cs="Arial"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5" w15:restartNumberingAfterBreak="0">
    <w:nsid w:val="65390452"/>
    <w:multiLevelType w:val="hybridMultilevel"/>
    <w:tmpl w:val="D196FE4C"/>
    <w:lvl w:ilvl="0" w:tplc="0AEA1BF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65F37178"/>
    <w:multiLevelType w:val="hybridMultilevel"/>
    <w:tmpl w:val="D79898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686E0354"/>
    <w:multiLevelType w:val="hybridMultilevel"/>
    <w:tmpl w:val="AAA4E264"/>
    <w:lvl w:ilvl="0" w:tplc="E438D0F4">
      <w:start w:val="1"/>
      <w:numFmt w:val="bullet"/>
      <w:lvlText w:val="•"/>
      <w:lvlJc w:val="left"/>
      <w:pPr>
        <w:ind w:left="720" w:hanging="360"/>
      </w:pPr>
      <w:rPr>
        <w:rFonts w:ascii="EYInterstate Light" w:hAnsi="EYInterstate Ligh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95665C3"/>
    <w:multiLevelType w:val="hybridMultilevel"/>
    <w:tmpl w:val="B62E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042FC5"/>
    <w:multiLevelType w:val="hybridMultilevel"/>
    <w:tmpl w:val="882EDB2C"/>
    <w:lvl w:ilvl="0" w:tplc="472E02D8">
      <w:numFmt w:val="bullet"/>
      <w:lvlText w:val="-"/>
      <w:lvlJc w:val="left"/>
      <w:pPr>
        <w:ind w:left="1440" w:hanging="360"/>
      </w:pPr>
      <w:rPr>
        <w:rFonts w:ascii="Times New Roman CYR" w:eastAsiaTheme="minorEastAsia" w:hAnsi="Times New Roman CYR" w:cs="Times New Roman CYR"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CE2786E"/>
    <w:multiLevelType w:val="hybridMultilevel"/>
    <w:tmpl w:val="D7683B58"/>
    <w:lvl w:ilvl="0" w:tplc="CC38FB80">
      <w:numFmt w:val="bullet"/>
      <w:lvlText w:val="-"/>
      <w:lvlJc w:val="left"/>
      <w:pPr>
        <w:ind w:left="874" w:hanging="360"/>
      </w:pPr>
      <w:rPr>
        <w:rFonts w:ascii="Calibri" w:eastAsia="Calibri" w:hAnsi="Calibri" w:cs="Calibri" w:hint="default"/>
      </w:rPr>
    </w:lvl>
    <w:lvl w:ilvl="1" w:tplc="04090003">
      <w:start w:val="1"/>
      <w:numFmt w:val="bullet"/>
      <w:lvlText w:val="o"/>
      <w:lvlJc w:val="left"/>
      <w:pPr>
        <w:ind w:left="1594" w:hanging="360"/>
      </w:pPr>
      <w:rPr>
        <w:rFonts w:ascii="Courier New" w:hAnsi="Courier New" w:cs="Courier New"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Courier New"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Courier New" w:hint="default"/>
      </w:rPr>
    </w:lvl>
    <w:lvl w:ilvl="8" w:tplc="04090005" w:tentative="1">
      <w:start w:val="1"/>
      <w:numFmt w:val="bullet"/>
      <w:lvlText w:val=""/>
      <w:lvlJc w:val="left"/>
      <w:pPr>
        <w:ind w:left="6634" w:hanging="360"/>
      </w:pPr>
      <w:rPr>
        <w:rFonts w:ascii="Wingdings" w:hAnsi="Wingdings" w:hint="default"/>
      </w:rPr>
    </w:lvl>
  </w:abstractNum>
  <w:abstractNum w:abstractNumId="41" w15:restartNumberingAfterBreak="0">
    <w:nsid w:val="700678B3"/>
    <w:multiLevelType w:val="hybridMultilevel"/>
    <w:tmpl w:val="BD4EF8DC"/>
    <w:lvl w:ilvl="0" w:tplc="CC38FB80">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27711CD"/>
    <w:multiLevelType w:val="hybridMultilevel"/>
    <w:tmpl w:val="FFFFFFFF"/>
    <w:lvl w:ilvl="0" w:tplc="E376C7E2">
      <w:start w:val="1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42D405C"/>
    <w:multiLevelType w:val="multilevel"/>
    <w:tmpl w:val="3A0678A6"/>
    <w:lvl w:ilvl="0">
      <w:start w:val="1"/>
      <w:numFmt w:val="bullet"/>
      <w:lvlText w:val="-"/>
      <w:lvlJc w:val="left"/>
      <w:pPr>
        <w:tabs>
          <w:tab w:val="num" w:pos="1440"/>
        </w:tabs>
        <w:ind w:left="1440" w:hanging="720"/>
      </w:pPr>
      <w:rPr>
        <w:rFonts w:ascii="Arial" w:eastAsia="Times New Roman" w:hAnsi="Arial" w:cs="Arial" w:hint="default"/>
      </w:r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44" w15:restartNumberingAfterBreak="0">
    <w:nsid w:val="783443B7"/>
    <w:multiLevelType w:val="hybridMultilevel"/>
    <w:tmpl w:val="FFFFFFFF"/>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5" w15:restartNumberingAfterBreak="0">
    <w:nsid w:val="7B011550"/>
    <w:multiLevelType w:val="hybridMultilevel"/>
    <w:tmpl w:val="F48AD93E"/>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6" w15:restartNumberingAfterBreak="0">
    <w:nsid w:val="7E542605"/>
    <w:multiLevelType w:val="hybridMultilevel"/>
    <w:tmpl w:val="A60464F6"/>
    <w:lvl w:ilvl="0" w:tplc="DF4642F2">
      <w:start w:val="2"/>
      <w:numFmt w:val="bullet"/>
      <w:lvlText w:val="-"/>
      <w:lvlJc w:val="left"/>
      <w:pPr>
        <w:ind w:left="720" w:hanging="360"/>
      </w:pPr>
      <w:rPr>
        <w:rFonts w:ascii="Calibri" w:eastAsia="Calibri" w:hAnsi="Calibri" w:cs="Calibri"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9D28C2"/>
    <w:multiLevelType w:val="hybridMultilevel"/>
    <w:tmpl w:val="BFCC7526"/>
    <w:lvl w:ilvl="0" w:tplc="C7B4F888">
      <w:start w:val="5"/>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2533958">
    <w:abstractNumId w:val="38"/>
  </w:num>
  <w:num w:numId="2" w16cid:durableId="1807821872">
    <w:abstractNumId w:val="45"/>
  </w:num>
  <w:num w:numId="3" w16cid:durableId="41909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6015029">
    <w:abstractNumId w:val="13"/>
  </w:num>
  <w:num w:numId="5" w16cid:durableId="1907295986">
    <w:abstractNumId w:val="3"/>
  </w:num>
  <w:num w:numId="6" w16cid:durableId="796949358">
    <w:abstractNumId w:val="46"/>
  </w:num>
  <w:num w:numId="7" w16cid:durableId="564143155">
    <w:abstractNumId w:val="24"/>
  </w:num>
  <w:num w:numId="8" w16cid:durableId="761488000">
    <w:abstractNumId w:val="37"/>
  </w:num>
  <w:num w:numId="9" w16cid:durableId="232088833">
    <w:abstractNumId w:val="17"/>
  </w:num>
  <w:num w:numId="10" w16cid:durableId="610864464">
    <w:abstractNumId w:val="26"/>
  </w:num>
  <w:num w:numId="11" w16cid:durableId="2045402331">
    <w:abstractNumId w:val="18"/>
  </w:num>
  <w:num w:numId="12" w16cid:durableId="401874373">
    <w:abstractNumId w:val="23"/>
  </w:num>
  <w:num w:numId="13" w16cid:durableId="1253931276">
    <w:abstractNumId w:val="4"/>
  </w:num>
  <w:num w:numId="14" w16cid:durableId="1330790192">
    <w:abstractNumId w:val="2"/>
  </w:num>
  <w:num w:numId="15" w16cid:durableId="1349867225">
    <w:abstractNumId w:val="11"/>
  </w:num>
  <w:num w:numId="16" w16cid:durableId="1415321299">
    <w:abstractNumId w:val="8"/>
  </w:num>
  <w:num w:numId="17" w16cid:durableId="486823041">
    <w:abstractNumId w:val="31"/>
  </w:num>
  <w:num w:numId="18" w16cid:durableId="602611205">
    <w:abstractNumId w:val="27"/>
  </w:num>
  <w:num w:numId="19" w16cid:durableId="1363172424">
    <w:abstractNumId w:val="35"/>
  </w:num>
  <w:num w:numId="20" w16cid:durableId="1009255354">
    <w:abstractNumId w:val="43"/>
  </w:num>
  <w:num w:numId="21" w16cid:durableId="519205360">
    <w:abstractNumId w:val="34"/>
  </w:num>
  <w:num w:numId="22" w16cid:durableId="540896079">
    <w:abstractNumId w:val="12"/>
  </w:num>
  <w:num w:numId="23" w16cid:durableId="1101224257">
    <w:abstractNumId w:val="32"/>
  </w:num>
  <w:num w:numId="24" w16cid:durableId="1103112632">
    <w:abstractNumId w:val="14"/>
  </w:num>
  <w:num w:numId="25" w16cid:durableId="743381622">
    <w:abstractNumId w:val="29"/>
  </w:num>
  <w:num w:numId="26" w16cid:durableId="864713786">
    <w:abstractNumId w:val="10"/>
  </w:num>
  <w:num w:numId="27" w16cid:durableId="1046375146">
    <w:abstractNumId w:val="40"/>
  </w:num>
  <w:num w:numId="28" w16cid:durableId="639575582">
    <w:abstractNumId w:val="25"/>
  </w:num>
  <w:num w:numId="29" w16cid:durableId="880361326">
    <w:abstractNumId w:val="7"/>
  </w:num>
  <w:num w:numId="30" w16cid:durableId="464734549">
    <w:abstractNumId w:val="9"/>
  </w:num>
  <w:num w:numId="31" w16cid:durableId="1722099052">
    <w:abstractNumId w:val="36"/>
  </w:num>
  <w:num w:numId="32" w16cid:durableId="577255681">
    <w:abstractNumId w:val="5"/>
  </w:num>
  <w:num w:numId="33" w16cid:durableId="62457479">
    <w:abstractNumId w:val="15"/>
  </w:num>
  <w:num w:numId="34" w16cid:durableId="870649471">
    <w:abstractNumId w:val="33"/>
  </w:num>
  <w:num w:numId="35" w16cid:durableId="1207835030">
    <w:abstractNumId w:val="28"/>
  </w:num>
  <w:num w:numId="36" w16cid:durableId="767310808">
    <w:abstractNumId w:val="1"/>
  </w:num>
  <w:num w:numId="37" w16cid:durableId="304169089">
    <w:abstractNumId w:val="30"/>
  </w:num>
  <w:num w:numId="38" w16cid:durableId="1906064534">
    <w:abstractNumId w:val="6"/>
  </w:num>
  <w:num w:numId="39" w16cid:durableId="792286211">
    <w:abstractNumId w:val="20"/>
  </w:num>
  <w:num w:numId="40" w16cid:durableId="1708144479">
    <w:abstractNumId w:val="0"/>
  </w:num>
  <w:num w:numId="41" w16cid:durableId="930313616">
    <w:abstractNumId w:val="21"/>
  </w:num>
  <w:num w:numId="42" w16cid:durableId="1128358283">
    <w:abstractNumId w:val="41"/>
  </w:num>
  <w:num w:numId="43" w16cid:durableId="1573004672">
    <w:abstractNumId w:val="47"/>
  </w:num>
  <w:num w:numId="44" w16cid:durableId="1679769948">
    <w:abstractNumId w:val="16"/>
  </w:num>
  <w:num w:numId="45" w16cid:durableId="842622047">
    <w:abstractNumId w:val="42"/>
  </w:num>
  <w:num w:numId="46" w16cid:durableId="1632322811">
    <w:abstractNumId w:val="44"/>
  </w:num>
  <w:num w:numId="47" w16cid:durableId="2044820133">
    <w:abstractNumId w:val="39"/>
  </w:num>
  <w:num w:numId="48" w16cid:durableId="279923503">
    <w:abstractNumId w:val="22"/>
  </w:num>
  <w:num w:numId="49" w16cid:durableId="13297948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94F"/>
    <w:rsid w:val="000039B5"/>
    <w:rsid w:val="0003335E"/>
    <w:rsid w:val="000350EA"/>
    <w:rsid w:val="00052043"/>
    <w:rsid w:val="00067E18"/>
    <w:rsid w:val="00075629"/>
    <w:rsid w:val="00085CA8"/>
    <w:rsid w:val="000A5009"/>
    <w:rsid w:val="000B08A7"/>
    <w:rsid w:val="000B6F6B"/>
    <w:rsid w:val="000C6337"/>
    <w:rsid w:val="000D4214"/>
    <w:rsid w:val="000D43D3"/>
    <w:rsid w:val="000E4C34"/>
    <w:rsid w:val="001007B4"/>
    <w:rsid w:val="00112BA4"/>
    <w:rsid w:val="00121BB5"/>
    <w:rsid w:val="00124344"/>
    <w:rsid w:val="00131EB2"/>
    <w:rsid w:val="0017291F"/>
    <w:rsid w:val="00185815"/>
    <w:rsid w:val="001904CA"/>
    <w:rsid w:val="00197B48"/>
    <w:rsid w:val="001B0057"/>
    <w:rsid w:val="001B7E3F"/>
    <w:rsid w:val="002125AE"/>
    <w:rsid w:val="002301E8"/>
    <w:rsid w:val="00230EED"/>
    <w:rsid w:val="002341BA"/>
    <w:rsid w:val="00280E3A"/>
    <w:rsid w:val="00291DCE"/>
    <w:rsid w:val="002B4288"/>
    <w:rsid w:val="002D04AF"/>
    <w:rsid w:val="002E4F6A"/>
    <w:rsid w:val="002E6219"/>
    <w:rsid w:val="002E7D0C"/>
    <w:rsid w:val="003117C7"/>
    <w:rsid w:val="0031385A"/>
    <w:rsid w:val="003257FC"/>
    <w:rsid w:val="003342F5"/>
    <w:rsid w:val="0034156A"/>
    <w:rsid w:val="00352F64"/>
    <w:rsid w:val="0036288B"/>
    <w:rsid w:val="00367585"/>
    <w:rsid w:val="003675D2"/>
    <w:rsid w:val="00367F11"/>
    <w:rsid w:val="0037515F"/>
    <w:rsid w:val="0038063C"/>
    <w:rsid w:val="00394FCC"/>
    <w:rsid w:val="00395088"/>
    <w:rsid w:val="003A68F5"/>
    <w:rsid w:val="003E0FBC"/>
    <w:rsid w:val="003F24B3"/>
    <w:rsid w:val="00412EFD"/>
    <w:rsid w:val="004229C1"/>
    <w:rsid w:val="00427119"/>
    <w:rsid w:val="00440915"/>
    <w:rsid w:val="00460CB4"/>
    <w:rsid w:val="00463E18"/>
    <w:rsid w:val="0047017B"/>
    <w:rsid w:val="00476C67"/>
    <w:rsid w:val="004A0A2C"/>
    <w:rsid w:val="004A3B2B"/>
    <w:rsid w:val="004B0EE1"/>
    <w:rsid w:val="004D4EF5"/>
    <w:rsid w:val="00517DED"/>
    <w:rsid w:val="005356BA"/>
    <w:rsid w:val="00546A25"/>
    <w:rsid w:val="00555935"/>
    <w:rsid w:val="00555FA0"/>
    <w:rsid w:val="00557E7F"/>
    <w:rsid w:val="005C4195"/>
    <w:rsid w:val="005D2B80"/>
    <w:rsid w:val="005E6C62"/>
    <w:rsid w:val="005F2BD3"/>
    <w:rsid w:val="00627AF4"/>
    <w:rsid w:val="00632CF5"/>
    <w:rsid w:val="006400EB"/>
    <w:rsid w:val="00641798"/>
    <w:rsid w:val="00661D7E"/>
    <w:rsid w:val="006714D5"/>
    <w:rsid w:val="006A029F"/>
    <w:rsid w:val="006F3B26"/>
    <w:rsid w:val="007066AB"/>
    <w:rsid w:val="007167D0"/>
    <w:rsid w:val="00724333"/>
    <w:rsid w:val="007469BF"/>
    <w:rsid w:val="00764770"/>
    <w:rsid w:val="007A1BE6"/>
    <w:rsid w:val="007A2141"/>
    <w:rsid w:val="007A32D8"/>
    <w:rsid w:val="007C5506"/>
    <w:rsid w:val="007E30C7"/>
    <w:rsid w:val="007E3AF3"/>
    <w:rsid w:val="007E7E5D"/>
    <w:rsid w:val="007F0477"/>
    <w:rsid w:val="008058AC"/>
    <w:rsid w:val="0080642C"/>
    <w:rsid w:val="0082346A"/>
    <w:rsid w:val="00823575"/>
    <w:rsid w:val="008315F6"/>
    <w:rsid w:val="0084123A"/>
    <w:rsid w:val="00842E90"/>
    <w:rsid w:val="0084393C"/>
    <w:rsid w:val="00845C3D"/>
    <w:rsid w:val="00863A46"/>
    <w:rsid w:val="00867A34"/>
    <w:rsid w:val="00867B21"/>
    <w:rsid w:val="00867E02"/>
    <w:rsid w:val="00881CB3"/>
    <w:rsid w:val="008825D4"/>
    <w:rsid w:val="008A4919"/>
    <w:rsid w:val="008A51E3"/>
    <w:rsid w:val="008D4C2F"/>
    <w:rsid w:val="008E6233"/>
    <w:rsid w:val="008F47C0"/>
    <w:rsid w:val="009725C3"/>
    <w:rsid w:val="00983BC5"/>
    <w:rsid w:val="009A5CA1"/>
    <w:rsid w:val="009C6F5E"/>
    <w:rsid w:val="009D5B2F"/>
    <w:rsid w:val="009F4D94"/>
    <w:rsid w:val="00A247AB"/>
    <w:rsid w:val="00A27A01"/>
    <w:rsid w:val="00A31256"/>
    <w:rsid w:val="00A337DB"/>
    <w:rsid w:val="00A419BC"/>
    <w:rsid w:val="00A77DAE"/>
    <w:rsid w:val="00A92EDA"/>
    <w:rsid w:val="00A9545B"/>
    <w:rsid w:val="00AA601C"/>
    <w:rsid w:val="00AB2EE3"/>
    <w:rsid w:val="00AC2DC1"/>
    <w:rsid w:val="00AC4DDE"/>
    <w:rsid w:val="00AC694F"/>
    <w:rsid w:val="00AF2E43"/>
    <w:rsid w:val="00B31655"/>
    <w:rsid w:val="00B64BB1"/>
    <w:rsid w:val="00B7794C"/>
    <w:rsid w:val="00BB5C98"/>
    <w:rsid w:val="00BF540C"/>
    <w:rsid w:val="00BF7596"/>
    <w:rsid w:val="00C54B22"/>
    <w:rsid w:val="00C70D17"/>
    <w:rsid w:val="00CA3611"/>
    <w:rsid w:val="00CA6D12"/>
    <w:rsid w:val="00CB4316"/>
    <w:rsid w:val="00CD12E8"/>
    <w:rsid w:val="00CE0ABF"/>
    <w:rsid w:val="00CE0CC1"/>
    <w:rsid w:val="00CF7428"/>
    <w:rsid w:val="00CF74C8"/>
    <w:rsid w:val="00D064F8"/>
    <w:rsid w:val="00D065B0"/>
    <w:rsid w:val="00D25FDD"/>
    <w:rsid w:val="00D26D91"/>
    <w:rsid w:val="00D278F4"/>
    <w:rsid w:val="00D31BF5"/>
    <w:rsid w:val="00D32407"/>
    <w:rsid w:val="00D433BC"/>
    <w:rsid w:val="00D44E44"/>
    <w:rsid w:val="00D50432"/>
    <w:rsid w:val="00D51101"/>
    <w:rsid w:val="00D60F46"/>
    <w:rsid w:val="00D678E1"/>
    <w:rsid w:val="00D72D69"/>
    <w:rsid w:val="00D8764A"/>
    <w:rsid w:val="00DA6617"/>
    <w:rsid w:val="00DD23F6"/>
    <w:rsid w:val="00DD240D"/>
    <w:rsid w:val="00E0138C"/>
    <w:rsid w:val="00E1523D"/>
    <w:rsid w:val="00E35170"/>
    <w:rsid w:val="00E35F0D"/>
    <w:rsid w:val="00E37AD7"/>
    <w:rsid w:val="00E423E5"/>
    <w:rsid w:val="00E67190"/>
    <w:rsid w:val="00E71BDE"/>
    <w:rsid w:val="00E74F14"/>
    <w:rsid w:val="00E91264"/>
    <w:rsid w:val="00E96A59"/>
    <w:rsid w:val="00EE793B"/>
    <w:rsid w:val="00F06002"/>
    <w:rsid w:val="00F06BF8"/>
    <w:rsid w:val="00F07DAA"/>
    <w:rsid w:val="00F20814"/>
    <w:rsid w:val="00F4172C"/>
    <w:rsid w:val="00F53F0E"/>
    <w:rsid w:val="00F60744"/>
    <w:rsid w:val="00F66B64"/>
    <w:rsid w:val="00F77C12"/>
    <w:rsid w:val="00F803EA"/>
    <w:rsid w:val="00F93FA5"/>
    <w:rsid w:val="00FB0CE7"/>
    <w:rsid w:val="00FB2A1A"/>
    <w:rsid w:val="00FD3E3A"/>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1C9DD4"/>
  <w14:defaultImageDpi w14:val="0"/>
  <w15:docId w15:val="{0F3D9993-6722-4CF4-9AF4-C3B584B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UA" w:eastAsia="ru-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FCC"/>
    <w:pPr>
      <w:keepNext/>
      <w:keepLines/>
      <w:spacing w:before="240" w:after="0"/>
      <w:jc w:val="center"/>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394FCC"/>
    <w:pPr>
      <w:keepNext/>
      <w:keepLines/>
      <w:spacing w:before="40" w:after="0"/>
      <w:outlineLvl w:val="1"/>
    </w:pPr>
    <w:rPr>
      <w:rFonts w:ascii="Times New Roman" w:eastAsiaTheme="majorEastAsia" w:hAnsi="Times New Roman"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44E44"/>
    <w:pPr>
      <w:spacing w:after="0" w:line="240" w:lineRule="auto"/>
    </w:pPr>
  </w:style>
  <w:style w:type="character" w:styleId="Hyperlink">
    <w:name w:val="Hyperlink"/>
    <w:basedOn w:val="DefaultParagraphFont"/>
    <w:uiPriority w:val="99"/>
    <w:unhideWhenUsed/>
    <w:rsid w:val="00A77DAE"/>
    <w:rPr>
      <w:color w:val="467886" w:themeColor="hyperlink"/>
      <w:u w:val="single"/>
    </w:rPr>
  </w:style>
  <w:style w:type="character" w:styleId="UnresolvedMention">
    <w:name w:val="Unresolved Mention"/>
    <w:basedOn w:val="DefaultParagraphFont"/>
    <w:uiPriority w:val="99"/>
    <w:semiHidden/>
    <w:unhideWhenUsed/>
    <w:rsid w:val="00A77DAE"/>
    <w:rPr>
      <w:color w:val="605E5C"/>
      <w:shd w:val="clear" w:color="auto" w:fill="E1DFDD"/>
    </w:rPr>
  </w:style>
  <w:style w:type="paragraph" w:styleId="ListParagraph">
    <w:name w:val="List Paragraph"/>
    <w:basedOn w:val="Normal"/>
    <w:uiPriority w:val="34"/>
    <w:qFormat/>
    <w:rsid w:val="0036288B"/>
    <w:pPr>
      <w:ind w:left="720"/>
      <w:contextualSpacing/>
    </w:pPr>
  </w:style>
  <w:style w:type="paragraph" w:customStyle="1" w:styleId="TableParagraph">
    <w:name w:val="Table Paragraph"/>
    <w:basedOn w:val="Normal"/>
    <w:uiPriority w:val="1"/>
    <w:qFormat/>
    <w:rsid w:val="00131EB2"/>
    <w:pPr>
      <w:widowControl w:val="0"/>
      <w:autoSpaceDE w:val="0"/>
      <w:autoSpaceDN w:val="0"/>
      <w:spacing w:after="0" w:line="240" w:lineRule="auto"/>
    </w:pPr>
    <w:rPr>
      <w:rFonts w:ascii="Times New Roman" w:eastAsia="Times New Roman" w:hAnsi="Times New Roman" w:cs="Times New Roman"/>
      <w:kern w:val="0"/>
      <w:sz w:val="22"/>
      <w:szCs w:val="22"/>
      <w:lang w:val="uk-UA" w:eastAsia="en-US"/>
      <w14:ligatures w14:val="none"/>
    </w:rPr>
  </w:style>
  <w:style w:type="character" w:styleId="CommentReference">
    <w:name w:val="annotation reference"/>
    <w:basedOn w:val="DefaultParagraphFont"/>
    <w:uiPriority w:val="99"/>
    <w:semiHidden/>
    <w:unhideWhenUsed/>
    <w:rsid w:val="000A5009"/>
    <w:rPr>
      <w:sz w:val="16"/>
      <w:szCs w:val="16"/>
    </w:rPr>
  </w:style>
  <w:style w:type="paragraph" w:styleId="CommentText">
    <w:name w:val="annotation text"/>
    <w:basedOn w:val="Normal"/>
    <w:link w:val="CommentTextChar"/>
    <w:uiPriority w:val="99"/>
    <w:unhideWhenUsed/>
    <w:rsid w:val="000A5009"/>
    <w:pPr>
      <w:spacing w:line="240" w:lineRule="auto"/>
    </w:pPr>
    <w:rPr>
      <w:sz w:val="20"/>
      <w:szCs w:val="20"/>
    </w:rPr>
  </w:style>
  <w:style w:type="character" w:customStyle="1" w:styleId="CommentTextChar">
    <w:name w:val="Comment Text Char"/>
    <w:basedOn w:val="DefaultParagraphFont"/>
    <w:link w:val="CommentText"/>
    <w:uiPriority w:val="99"/>
    <w:rsid w:val="000A5009"/>
    <w:rPr>
      <w:sz w:val="20"/>
      <w:szCs w:val="20"/>
    </w:rPr>
  </w:style>
  <w:style w:type="paragraph" w:styleId="CommentSubject">
    <w:name w:val="annotation subject"/>
    <w:basedOn w:val="CommentText"/>
    <w:next w:val="CommentText"/>
    <w:link w:val="CommentSubjectChar"/>
    <w:uiPriority w:val="99"/>
    <w:semiHidden/>
    <w:unhideWhenUsed/>
    <w:rsid w:val="000A5009"/>
    <w:rPr>
      <w:b/>
      <w:bCs/>
    </w:rPr>
  </w:style>
  <w:style w:type="character" w:customStyle="1" w:styleId="CommentSubjectChar">
    <w:name w:val="Comment Subject Char"/>
    <w:basedOn w:val="CommentTextChar"/>
    <w:link w:val="CommentSubject"/>
    <w:uiPriority w:val="99"/>
    <w:semiHidden/>
    <w:rsid w:val="000A5009"/>
    <w:rPr>
      <w:b/>
      <w:bCs/>
      <w:sz w:val="20"/>
      <w:szCs w:val="20"/>
    </w:rPr>
  </w:style>
  <w:style w:type="character" w:styleId="FollowedHyperlink">
    <w:name w:val="FollowedHyperlink"/>
    <w:basedOn w:val="DefaultParagraphFont"/>
    <w:uiPriority w:val="99"/>
    <w:semiHidden/>
    <w:unhideWhenUsed/>
    <w:rsid w:val="00D51101"/>
    <w:rPr>
      <w:color w:val="96607D" w:themeColor="followedHyperlink"/>
      <w:u w:val="single"/>
    </w:rPr>
  </w:style>
  <w:style w:type="paragraph" w:customStyle="1" w:styleId="Default">
    <w:name w:val="Default"/>
    <w:rsid w:val="00D50432"/>
    <w:pPr>
      <w:autoSpaceDE w:val="0"/>
      <w:autoSpaceDN w:val="0"/>
      <w:adjustRightInd w:val="0"/>
      <w:spacing w:after="0" w:line="240" w:lineRule="auto"/>
    </w:pPr>
    <w:rPr>
      <w:rFonts w:ascii="HelveticaNeueCyr" w:eastAsiaTheme="minorHAnsi" w:hAnsi="HelveticaNeueCyr" w:cs="HelveticaNeueCyr"/>
      <w:color w:val="000000"/>
      <w:kern w:val="0"/>
      <w:lang w:eastAsia="en-US"/>
    </w:rPr>
  </w:style>
  <w:style w:type="character" w:customStyle="1" w:styleId="Heading1Char">
    <w:name w:val="Heading 1 Char"/>
    <w:basedOn w:val="DefaultParagraphFont"/>
    <w:link w:val="Heading1"/>
    <w:uiPriority w:val="9"/>
    <w:rsid w:val="00394FCC"/>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sid w:val="00394FCC"/>
    <w:rPr>
      <w:rFonts w:ascii="Times New Roman" w:eastAsiaTheme="majorEastAsia" w:hAnsi="Times New Roman" w:cstheme="majorBidi"/>
      <w:b/>
      <w:i/>
      <w:szCs w:val="26"/>
    </w:rPr>
  </w:style>
  <w:style w:type="paragraph" w:styleId="TOCHeading">
    <w:name w:val="TOC Heading"/>
    <w:basedOn w:val="Heading1"/>
    <w:next w:val="Normal"/>
    <w:uiPriority w:val="39"/>
    <w:unhideWhenUsed/>
    <w:qFormat/>
    <w:rsid w:val="00394FCC"/>
    <w:pPr>
      <w:spacing w:line="259" w:lineRule="auto"/>
      <w:jc w:val="left"/>
      <w:outlineLvl w:val="9"/>
    </w:pPr>
    <w:rPr>
      <w:rFonts w:asciiTheme="majorHAnsi" w:hAnsiTheme="majorHAnsi"/>
      <w:b w:val="0"/>
      <w:color w:val="0F4761" w:themeColor="accent1" w:themeShade="BF"/>
      <w:kern w:val="0"/>
      <w:sz w:val="32"/>
      <w:lang w:val="en-US" w:eastAsia="en-US"/>
      <w14:ligatures w14:val="none"/>
    </w:rPr>
  </w:style>
  <w:style w:type="paragraph" w:styleId="TOC1">
    <w:name w:val="toc 1"/>
    <w:basedOn w:val="Normal"/>
    <w:next w:val="Normal"/>
    <w:autoRedefine/>
    <w:uiPriority w:val="39"/>
    <w:unhideWhenUsed/>
    <w:rsid w:val="00394FCC"/>
    <w:pPr>
      <w:spacing w:after="100"/>
    </w:pPr>
  </w:style>
  <w:style w:type="paragraph" w:styleId="TOC2">
    <w:name w:val="toc 2"/>
    <w:basedOn w:val="Normal"/>
    <w:next w:val="Normal"/>
    <w:autoRedefine/>
    <w:uiPriority w:val="39"/>
    <w:unhideWhenUsed/>
    <w:rsid w:val="00394FCC"/>
    <w:pPr>
      <w:spacing w:after="100"/>
      <w:ind w:left="240"/>
    </w:pPr>
  </w:style>
  <w:style w:type="table" w:styleId="TableGrid">
    <w:name w:val="Table Grid"/>
    <w:basedOn w:val="TableNormal"/>
    <w:rsid w:val="0037515F"/>
    <w:pPr>
      <w:spacing w:after="0" w:line="240" w:lineRule="auto"/>
    </w:pPr>
    <w:rPr>
      <w:rFonts w:ascii="EYInterstate" w:eastAsia="Times New Roman" w:hAnsi="EYInterstate"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37515F"/>
  </w:style>
  <w:style w:type="table" w:styleId="ListTable4">
    <w:name w:val="List Table 4"/>
    <w:basedOn w:val="TableNormal"/>
    <w:uiPriority w:val="49"/>
    <w:rsid w:val="0037515F"/>
    <w:pPr>
      <w:spacing w:after="0" w:line="240" w:lineRule="auto"/>
    </w:pPr>
    <w:rPr>
      <w:rFonts w:eastAsiaTheme="minorHAnsi"/>
      <w:kern w:val="0"/>
      <w:sz w:val="22"/>
      <w:szCs w:val="22"/>
      <w:lang w:val="en-GB" w:eastAsia="en-US"/>
      <w14:ligatures w14:val="none"/>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Normal2">
    <w:name w:val="Table Normal2"/>
    <w:uiPriority w:val="2"/>
    <w:semiHidden/>
    <w:unhideWhenUsed/>
    <w:qFormat/>
    <w:rsid w:val="00CA6D12"/>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table" w:customStyle="1" w:styleId="TableGrid1">
    <w:name w:val="Table Grid1"/>
    <w:basedOn w:val="TableNormal"/>
    <w:next w:val="TableGrid"/>
    <w:rsid w:val="008F47C0"/>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unhideWhenUsed/>
    <w:qFormat/>
    <w:rsid w:val="009C6F5E"/>
    <w:pPr>
      <w:spacing w:after="0" w:line="240" w:lineRule="auto"/>
    </w:pPr>
    <w:rPr>
      <w:b/>
      <w:color w:val="0E2841" w:themeColor="text2"/>
      <w:kern w:val="0"/>
      <w:sz w:val="28"/>
      <w:szCs w:val="22"/>
      <w:lang w:val="ru-RU" w:eastAsia="en-US"/>
      <w14:ligatures w14:val="none"/>
    </w:rPr>
  </w:style>
  <w:style w:type="paragraph" w:customStyle="1" w:styleId="Ch6">
    <w:name w:val="Простой подзаг (п/ж) курсив (Ch_6 Міністерства)"/>
    <w:basedOn w:val="Normal"/>
    <w:uiPriority w:val="99"/>
    <w:rsid w:val="00CA3611"/>
    <w:pPr>
      <w:keepNext/>
      <w:keepLines/>
      <w:widowControl w:val="0"/>
      <w:tabs>
        <w:tab w:val="right" w:pos="7710"/>
      </w:tabs>
      <w:suppressAutoHyphens/>
      <w:autoSpaceDE w:val="0"/>
      <w:autoSpaceDN w:val="0"/>
      <w:adjustRightInd w:val="0"/>
      <w:spacing w:before="113" w:after="57" w:line="257" w:lineRule="auto"/>
      <w:ind w:left="283"/>
      <w:textAlignment w:val="center"/>
    </w:pPr>
    <w:rPr>
      <w:rFonts w:ascii="Pragmatica-BoldObl" w:hAnsi="Pragmatica-BoldObl" w:cs="Pragmatica-BoldObl"/>
      <w:b/>
      <w:bCs/>
      <w:i/>
      <w:iCs/>
      <w:color w:val="000000"/>
      <w:w w:val="90"/>
      <w:kern w:val="0"/>
      <w:sz w:val="18"/>
      <w:szCs w:val="18"/>
      <w:lang w:val="uk-UA" w:eastAsia="uk-UA"/>
      <w14:ligatures w14:val="none"/>
    </w:rPr>
  </w:style>
  <w:style w:type="paragraph" w:customStyle="1" w:styleId="TableTABL">
    <w:name w:val="Table (TABL)"/>
    <w:basedOn w:val="Normal"/>
    <w:uiPriority w:val="99"/>
    <w:rsid w:val="00CA3611"/>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kern w:val="0"/>
      <w:sz w:val="17"/>
      <w:szCs w:val="17"/>
      <w:lang w:val="uk-UA" w:eastAsia="uk-UA"/>
      <w14:ligatures w14:val="none"/>
    </w:rPr>
  </w:style>
  <w:style w:type="paragraph" w:customStyle="1" w:styleId="a">
    <w:name w:val="[Без стиля]"/>
    <w:rsid w:val="00CA3611"/>
    <w:pPr>
      <w:widowControl w:val="0"/>
      <w:autoSpaceDE w:val="0"/>
      <w:autoSpaceDN w:val="0"/>
      <w:adjustRightInd w:val="0"/>
      <w:spacing w:after="0" w:line="288" w:lineRule="auto"/>
      <w:textAlignment w:val="center"/>
    </w:pPr>
    <w:rPr>
      <w:rFonts w:ascii="Times New Roman" w:hAnsi="Times New Roman" w:cs="Times New Roman"/>
      <w:color w:val="000000"/>
      <w:kern w:val="0"/>
      <w:lang w:val="en-US"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7086">
      <w:bodyDiv w:val="1"/>
      <w:marLeft w:val="0"/>
      <w:marRight w:val="0"/>
      <w:marTop w:val="0"/>
      <w:marBottom w:val="0"/>
      <w:divBdr>
        <w:top w:val="none" w:sz="0" w:space="0" w:color="auto"/>
        <w:left w:val="none" w:sz="0" w:space="0" w:color="auto"/>
        <w:bottom w:val="none" w:sz="0" w:space="0" w:color="auto"/>
        <w:right w:val="none" w:sz="0" w:space="0" w:color="auto"/>
      </w:divBdr>
    </w:div>
    <w:div w:id="60368414">
      <w:bodyDiv w:val="1"/>
      <w:marLeft w:val="0"/>
      <w:marRight w:val="0"/>
      <w:marTop w:val="0"/>
      <w:marBottom w:val="0"/>
      <w:divBdr>
        <w:top w:val="none" w:sz="0" w:space="0" w:color="auto"/>
        <w:left w:val="none" w:sz="0" w:space="0" w:color="auto"/>
        <w:bottom w:val="none" w:sz="0" w:space="0" w:color="auto"/>
        <w:right w:val="none" w:sz="0" w:space="0" w:color="auto"/>
      </w:divBdr>
    </w:div>
    <w:div w:id="73746708">
      <w:bodyDiv w:val="1"/>
      <w:marLeft w:val="0"/>
      <w:marRight w:val="0"/>
      <w:marTop w:val="0"/>
      <w:marBottom w:val="0"/>
      <w:divBdr>
        <w:top w:val="none" w:sz="0" w:space="0" w:color="auto"/>
        <w:left w:val="none" w:sz="0" w:space="0" w:color="auto"/>
        <w:bottom w:val="none" w:sz="0" w:space="0" w:color="auto"/>
        <w:right w:val="none" w:sz="0" w:space="0" w:color="auto"/>
      </w:divBdr>
    </w:div>
    <w:div w:id="86120544">
      <w:bodyDiv w:val="1"/>
      <w:marLeft w:val="0"/>
      <w:marRight w:val="0"/>
      <w:marTop w:val="0"/>
      <w:marBottom w:val="0"/>
      <w:divBdr>
        <w:top w:val="none" w:sz="0" w:space="0" w:color="auto"/>
        <w:left w:val="none" w:sz="0" w:space="0" w:color="auto"/>
        <w:bottom w:val="none" w:sz="0" w:space="0" w:color="auto"/>
        <w:right w:val="none" w:sz="0" w:space="0" w:color="auto"/>
      </w:divBdr>
    </w:div>
    <w:div w:id="102189420">
      <w:bodyDiv w:val="1"/>
      <w:marLeft w:val="0"/>
      <w:marRight w:val="0"/>
      <w:marTop w:val="0"/>
      <w:marBottom w:val="0"/>
      <w:divBdr>
        <w:top w:val="none" w:sz="0" w:space="0" w:color="auto"/>
        <w:left w:val="none" w:sz="0" w:space="0" w:color="auto"/>
        <w:bottom w:val="none" w:sz="0" w:space="0" w:color="auto"/>
        <w:right w:val="none" w:sz="0" w:space="0" w:color="auto"/>
      </w:divBdr>
    </w:div>
    <w:div w:id="213516352">
      <w:bodyDiv w:val="1"/>
      <w:marLeft w:val="0"/>
      <w:marRight w:val="0"/>
      <w:marTop w:val="0"/>
      <w:marBottom w:val="0"/>
      <w:divBdr>
        <w:top w:val="none" w:sz="0" w:space="0" w:color="auto"/>
        <w:left w:val="none" w:sz="0" w:space="0" w:color="auto"/>
        <w:bottom w:val="none" w:sz="0" w:space="0" w:color="auto"/>
        <w:right w:val="none" w:sz="0" w:space="0" w:color="auto"/>
      </w:divBdr>
    </w:div>
    <w:div w:id="244070306">
      <w:bodyDiv w:val="1"/>
      <w:marLeft w:val="0"/>
      <w:marRight w:val="0"/>
      <w:marTop w:val="0"/>
      <w:marBottom w:val="0"/>
      <w:divBdr>
        <w:top w:val="none" w:sz="0" w:space="0" w:color="auto"/>
        <w:left w:val="none" w:sz="0" w:space="0" w:color="auto"/>
        <w:bottom w:val="none" w:sz="0" w:space="0" w:color="auto"/>
        <w:right w:val="none" w:sz="0" w:space="0" w:color="auto"/>
      </w:divBdr>
    </w:div>
    <w:div w:id="247665144">
      <w:bodyDiv w:val="1"/>
      <w:marLeft w:val="0"/>
      <w:marRight w:val="0"/>
      <w:marTop w:val="0"/>
      <w:marBottom w:val="0"/>
      <w:divBdr>
        <w:top w:val="none" w:sz="0" w:space="0" w:color="auto"/>
        <w:left w:val="none" w:sz="0" w:space="0" w:color="auto"/>
        <w:bottom w:val="none" w:sz="0" w:space="0" w:color="auto"/>
        <w:right w:val="none" w:sz="0" w:space="0" w:color="auto"/>
      </w:divBdr>
    </w:div>
    <w:div w:id="297807373">
      <w:bodyDiv w:val="1"/>
      <w:marLeft w:val="0"/>
      <w:marRight w:val="0"/>
      <w:marTop w:val="0"/>
      <w:marBottom w:val="0"/>
      <w:divBdr>
        <w:top w:val="none" w:sz="0" w:space="0" w:color="auto"/>
        <w:left w:val="none" w:sz="0" w:space="0" w:color="auto"/>
        <w:bottom w:val="none" w:sz="0" w:space="0" w:color="auto"/>
        <w:right w:val="none" w:sz="0" w:space="0" w:color="auto"/>
      </w:divBdr>
    </w:div>
    <w:div w:id="340085464">
      <w:bodyDiv w:val="1"/>
      <w:marLeft w:val="0"/>
      <w:marRight w:val="0"/>
      <w:marTop w:val="0"/>
      <w:marBottom w:val="0"/>
      <w:divBdr>
        <w:top w:val="none" w:sz="0" w:space="0" w:color="auto"/>
        <w:left w:val="none" w:sz="0" w:space="0" w:color="auto"/>
        <w:bottom w:val="none" w:sz="0" w:space="0" w:color="auto"/>
        <w:right w:val="none" w:sz="0" w:space="0" w:color="auto"/>
      </w:divBdr>
    </w:div>
    <w:div w:id="347221674">
      <w:bodyDiv w:val="1"/>
      <w:marLeft w:val="0"/>
      <w:marRight w:val="0"/>
      <w:marTop w:val="0"/>
      <w:marBottom w:val="0"/>
      <w:divBdr>
        <w:top w:val="none" w:sz="0" w:space="0" w:color="auto"/>
        <w:left w:val="none" w:sz="0" w:space="0" w:color="auto"/>
        <w:bottom w:val="none" w:sz="0" w:space="0" w:color="auto"/>
        <w:right w:val="none" w:sz="0" w:space="0" w:color="auto"/>
      </w:divBdr>
    </w:div>
    <w:div w:id="363095536">
      <w:bodyDiv w:val="1"/>
      <w:marLeft w:val="0"/>
      <w:marRight w:val="0"/>
      <w:marTop w:val="0"/>
      <w:marBottom w:val="0"/>
      <w:divBdr>
        <w:top w:val="none" w:sz="0" w:space="0" w:color="auto"/>
        <w:left w:val="none" w:sz="0" w:space="0" w:color="auto"/>
        <w:bottom w:val="none" w:sz="0" w:space="0" w:color="auto"/>
        <w:right w:val="none" w:sz="0" w:space="0" w:color="auto"/>
      </w:divBdr>
    </w:div>
    <w:div w:id="391193412">
      <w:bodyDiv w:val="1"/>
      <w:marLeft w:val="0"/>
      <w:marRight w:val="0"/>
      <w:marTop w:val="0"/>
      <w:marBottom w:val="0"/>
      <w:divBdr>
        <w:top w:val="none" w:sz="0" w:space="0" w:color="auto"/>
        <w:left w:val="none" w:sz="0" w:space="0" w:color="auto"/>
        <w:bottom w:val="none" w:sz="0" w:space="0" w:color="auto"/>
        <w:right w:val="none" w:sz="0" w:space="0" w:color="auto"/>
      </w:divBdr>
    </w:div>
    <w:div w:id="501552944">
      <w:bodyDiv w:val="1"/>
      <w:marLeft w:val="0"/>
      <w:marRight w:val="0"/>
      <w:marTop w:val="0"/>
      <w:marBottom w:val="0"/>
      <w:divBdr>
        <w:top w:val="none" w:sz="0" w:space="0" w:color="auto"/>
        <w:left w:val="none" w:sz="0" w:space="0" w:color="auto"/>
        <w:bottom w:val="none" w:sz="0" w:space="0" w:color="auto"/>
        <w:right w:val="none" w:sz="0" w:space="0" w:color="auto"/>
      </w:divBdr>
    </w:div>
    <w:div w:id="563029144">
      <w:bodyDiv w:val="1"/>
      <w:marLeft w:val="0"/>
      <w:marRight w:val="0"/>
      <w:marTop w:val="0"/>
      <w:marBottom w:val="0"/>
      <w:divBdr>
        <w:top w:val="none" w:sz="0" w:space="0" w:color="auto"/>
        <w:left w:val="none" w:sz="0" w:space="0" w:color="auto"/>
        <w:bottom w:val="none" w:sz="0" w:space="0" w:color="auto"/>
        <w:right w:val="none" w:sz="0" w:space="0" w:color="auto"/>
      </w:divBdr>
    </w:div>
    <w:div w:id="567308405">
      <w:bodyDiv w:val="1"/>
      <w:marLeft w:val="0"/>
      <w:marRight w:val="0"/>
      <w:marTop w:val="0"/>
      <w:marBottom w:val="0"/>
      <w:divBdr>
        <w:top w:val="none" w:sz="0" w:space="0" w:color="auto"/>
        <w:left w:val="none" w:sz="0" w:space="0" w:color="auto"/>
        <w:bottom w:val="none" w:sz="0" w:space="0" w:color="auto"/>
        <w:right w:val="none" w:sz="0" w:space="0" w:color="auto"/>
      </w:divBdr>
    </w:div>
    <w:div w:id="600066819">
      <w:bodyDiv w:val="1"/>
      <w:marLeft w:val="0"/>
      <w:marRight w:val="0"/>
      <w:marTop w:val="0"/>
      <w:marBottom w:val="0"/>
      <w:divBdr>
        <w:top w:val="none" w:sz="0" w:space="0" w:color="auto"/>
        <w:left w:val="none" w:sz="0" w:space="0" w:color="auto"/>
        <w:bottom w:val="none" w:sz="0" w:space="0" w:color="auto"/>
        <w:right w:val="none" w:sz="0" w:space="0" w:color="auto"/>
      </w:divBdr>
    </w:div>
    <w:div w:id="612320974">
      <w:bodyDiv w:val="1"/>
      <w:marLeft w:val="0"/>
      <w:marRight w:val="0"/>
      <w:marTop w:val="0"/>
      <w:marBottom w:val="0"/>
      <w:divBdr>
        <w:top w:val="none" w:sz="0" w:space="0" w:color="auto"/>
        <w:left w:val="none" w:sz="0" w:space="0" w:color="auto"/>
        <w:bottom w:val="none" w:sz="0" w:space="0" w:color="auto"/>
        <w:right w:val="none" w:sz="0" w:space="0" w:color="auto"/>
      </w:divBdr>
    </w:div>
    <w:div w:id="675958785">
      <w:bodyDiv w:val="1"/>
      <w:marLeft w:val="0"/>
      <w:marRight w:val="0"/>
      <w:marTop w:val="0"/>
      <w:marBottom w:val="0"/>
      <w:divBdr>
        <w:top w:val="none" w:sz="0" w:space="0" w:color="auto"/>
        <w:left w:val="none" w:sz="0" w:space="0" w:color="auto"/>
        <w:bottom w:val="none" w:sz="0" w:space="0" w:color="auto"/>
        <w:right w:val="none" w:sz="0" w:space="0" w:color="auto"/>
      </w:divBdr>
    </w:div>
    <w:div w:id="676999807">
      <w:bodyDiv w:val="1"/>
      <w:marLeft w:val="0"/>
      <w:marRight w:val="0"/>
      <w:marTop w:val="0"/>
      <w:marBottom w:val="0"/>
      <w:divBdr>
        <w:top w:val="none" w:sz="0" w:space="0" w:color="auto"/>
        <w:left w:val="none" w:sz="0" w:space="0" w:color="auto"/>
        <w:bottom w:val="none" w:sz="0" w:space="0" w:color="auto"/>
        <w:right w:val="none" w:sz="0" w:space="0" w:color="auto"/>
      </w:divBdr>
    </w:div>
    <w:div w:id="694964363">
      <w:bodyDiv w:val="1"/>
      <w:marLeft w:val="0"/>
      <w:marRight w:val="0"/>
      <w:marTop w:val="0"/>
      <w:marBottom w:val="0"/>
      <w:divBdr>
        <w:top w:val="none" w:sz="0" w:space="0" w:color="auto"/>
        <w:left w:val="none" w:sz="0" w:space="0" w:color="auto"/>
        <w:bottom w:val="none" w:sz="0" w:space="0" w:color="auto"/>
        <w:right w:val="none" w:sz="0" w:space="0" w:color="auto"/>
      </w:divBdr>
    </w:div>
    <w:div w:id="795954807">
      <w:bodyDiv w:val="1"/>
      <w:marLeft w:val="0"/>
      <w:marRight w:val="0"/>
      <w:marTop w:val="0"/>
      <w:marBottom w:val="0"/>
      <w:divBdr>
        <w:top w:val="none" w:sz="0" w:space="0" w:color="auto"/>
        <w:left w:val="none" w:sz="0" w:space="0" w:color="auto"/>
        <w:bottom w:val="none" w:sz="0" w:space="0" w:color="auto"/>
        <w:right w:val="none" w:sz="0" w:space="0" w:color="auto"/>
      </w:divBdr>
    </w:div>
    <w:div w:id="802192165">
      <w:bodyDiv w:val="1"/>
      <w:marLeft w:val="0"/>
      <w:marRight w:val="0"/>
      <w:marTop w:val="0"/>
      <w:marBottom w:val="0"/>
      <w:divBdr>
        <w:top w:val="none" w:sz="0" w:space="0" w:color="auto"/>
        <w:left w:val="none" w:sz="0" w:space="0" w:color="auto"/>
        <w:bottom w:val="none" w:sz="0" w:space="0" w:color="auto"/>
        <w:right w:val="none" w:sz="0" w:space="0" w:color="auto"/>
      </w:divBdr>
    </w:div>
    <w:div w:id="865142879">
      <w:bodyDiv w:val="1"/>
      <w:marLeft w:val="0"/>
      <w:marRight w:val="0"/>
      <w:marTop w:val="0"/>
      <w:marBottom w:val="0"/>
      <w:divBdr>
        <w:top w:val="none" w:sz="0" w:space="0" w:color="auto"/>
        <w:left w:val="none" w:sz="0" w:space="0" w:color="auto"/>
        <w:bottom w:val="none" w:sz="0" w:space="0" w:color="auto"/>
        <w:right w:val="none" w:sz="0" w:space="0" w:color="auto"/>
      </w:divBdr>
    </w:div>
    <w:div w:id="890768179">
      <w:bodyDiv w:val="1"/>
      <w:marLeft w:val="0"/>
      <w:marRight w:val="0"/>
      <w:marTop w:val="0"/>
      <w:marBottom w:val="0"/>
      <w:divBdr>
        <w:top w:val="none" w:sz="0" w:space="0" w:color="auto"/>
        <w:left w:val="none" w:sz="0" w:space="0" w:color="auto"/>
        <w:bottom w:val="none" w:sz="0" w:space="0" w:color="auto"/>
        <w:right w:val="none" w:sz="0" w:space="0" w:color="auto"/>
      </w:divBdr>
    </w:div>
    <w:div w:id="905798100">
      <w:bodyDiv w:val="1"/>
      <w:marLeft w:val="0"/>
      <w:marRight w:val="0"/>
      <w:marTop w:val="0"/>
      <w:marBottom w:val="0"/>
      <w:divBdr>
        <w:top w:val="none" w:sz="0" w:space="0" w:color="auto"/>
        <w:left w:val="none" w:sz="0" w:space="0" w:color="auto"/>
        <w:bottom w:val="none" w:sz="0" w:space="0" w:color="auto"/>
        <w:right w:val="none" w:sz="0" w:space="0" w:color="auto"/>
      </w:divBdr>
    </w:div>
    <w:div w:id="916013861">
      <w:bodyDiv w:val="1"/>
      <w:marLeft w:val="0"/>
      <w:marRight w:val="0"/>
      <w:marTop w:val="0"/>
      <w:marBottom w:val="0"/>
      <w:divBdr>
        <w:top w:val="none" w:sz="0" w:space="0" w:color="auto"/>
        <w:left w:val="none" w:sz="0" w:space="0" w:color="auto"/>
        <w:bottom w:val="none" w:sz="0" w:space="0" w:color="auto"/>
        <w:right w:val="none" w:sz="0" w:space="0" w:color="auto"/>
      </w:divBdr>
    </w:div>
    <w:div w:id="946156315">
      <w:bodyDiv w:val="1"/>
      <w:marLeft w:val="0"/>
      <w:marRight w:val="0"/>
      <w:marTop w:val="0"/>
      <w:marBottom w:val="0"/>
      <w:divBdr>
        <w:top w:val="none" w:sz="0" w:space="0" w:color="auto"/>
        <w:left w:val="none" w:sz="0" w:space="0" w:color="auto"/>
        <w:bottom w:val="none" w:sz="0" w:space="0" w:color="auto"/>
        <w:right w:val="none" w:sz="0" w:space="0" w:color="auto"/>
      </w:divBdr>
    </w:div>
    <w:div w:id="984895771">
      <w:bodyDiv w:val="1"/>
      <w:marLeft w:val="0"/>
      <w:marRight w:val="0"/>
      <w:marTop w:val="0"/>
      <w:marBottom w:val="0"/>
      <w:divBdr>
        <w:top w:val="none" w:sz="0" w:space="0" w:color="auto"/>
        <w:left w:val="none" w:sz="0" w:space="0" w:color="auto"/>
        <w:bottom w:val="none" w:sz="0" w:space="0" w:color="auto"/>
        <w:right w:val="none" w:sz="0" w:space="0" w:color="auto"/>
      </w:divBdr>
    </w:div>
    <w:div w:id="1006514157">
      <w:bodyDiv w:val="1"/>
      <w:marLeft w:val="0"/>
      <w:marRight w:val="0"/>
      <w:marTop w:val="0"/>
      <w:marBottom w:val="0"/>
      <w:divBdr>
        <w:top w:val="none" w:sz="0" w:space="0" w:color="auto"/>
        <w:left w:val="none" w:sz="0" w:space="0" w:color="auto"/>
        <w:bottom w:val="none" w:sz="0" w:space="0" w:color="auto"/>
        <w:right w:val="none" w:sz="0" w:space="0" w:color="auto"/>
      </w:divBdr>
    </w:div>
    <w:div w:id="1117214700">
      <w:bodyDiv w:val="1"/>
      <w:marLeft w:val="0"/>
      <w:marRight w:val="0"/>
      <w:marTop w:val="0"/>
      <w:marBottom w:val="0"/>
      <w:divBdr>
        <w:top w:val="none" w:sz="0" w:space="0" w:color="auto"/>
        <w:left w:val="none" w:sz="0" w:space="0" w:color="auto"/>
        <w:bottom w:val="none" w:sz="0" w:space="0" w:color="auto"/>
        <w:right w:val="none" w:sz="0" w:space="0" w:color="auto"/>
      </w:divBdr>
    </w:div>
    <w:div w:id="1202599194">
      <w:bodyDiv w:val="1"/>
      <w:marLeft w:val="0"/>
      <w:marRight w:val="0"/>
      <w:marTop w:val="0"/>
      <w:marBottom w:val="0"/>
      <w:divBdr>
        <w:top w:val="none" w:sz="0" w:space="0" w:color="auto"/>
        <w:left w:val="none" w:sz="0" w:space="0" w:color="auto"/>
        <w:bottom w:val="none" w:sz="0" w:space="0" w:color="auto"/>
        <w:right w:val="none" w:sz="0" w:space="0" w:color="auto"/>
      </w:divBdr>
    </w:div>
    <w:div w:id="1295016331">
      <w:bodyDiv w:val="1"/>
      <w:marLeft w:val="0"/>
      <w:marRight w:val="0"/>
      <w:marTop w:val="0"/>
      <w:marBottom w:val="0"/>
      <w:divBdr>
        <w:top w:val="none" w:sz="0" w:space="0" w:color="auto"/>
        <w:left w:val="none" w:sz="0" w:space="0" w:color="auto"/>
        <w:bottom w:val="none" w:sz="0" w:space="0" w:color="auto"/>
        <w:right w:val="none" w:sz="0" w:space="0" w:color="auto"/>
      </w:divBdr>
    </w:div>
    <w:div w:id="1347098137">
      <w:bodyDiv w:val="1"/>
      <w:marLeft w:val="0"/>
      <w:marRight w:val="0"/>
      <w:marTop w:val="0"/>
      <w:marBottom w:val="0"/>
      <w:divBdr>
        <w:top w:val="none" w:sz="0" w:space="0" w:color="auto"/>
        <w:left w:val="none" w:sz="0" w:space="0" w:color="auto"/>
        <w:bottom w:val="none" w:sz="0" w:space="0" w:color="auto"/>
        <w:right w:val="none" w:sz="0" w:space="0" w:color="auto"/>
      </w:divBdr>
    </w:div>
    <w:div w:id="1362198298">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90348505">
      <w:bodyDiv w:val="1"/>
      <w:marLeft w:val="0"/>
      <w:marRight w:val="0"/>
      <w:marTop w:val="0"/>
      <w:marBottom w:val="0"/>
      <w:divBdr>
        <w:top w:val="none" w:sz="0" w:space="0" w:color="auto"/>
        <w:left w:val="none" w:sz="0" w:space="0" w:color="auto"/>
        <w:bottom w:val="none" w:sz="0" w:space="0" w:color="auto"/>
        <w:right w:val="none" w:sz="0" w:space="0" w:color="auto"/>
      </w:divBdr>
    </w:div>
    <w:div w:id="1411806393">
      <w:bodyDiv w:val="1"/>
      <w:marLeft w:val="0"/>
      <w:marRight w:val="0"/>
      <w:marTop w:val="0"/>
      <w:marBottom w:val="0"/>
      <w:divBdr>
        <w:top w:val="none" w:sz="0" w:space="0" w:color="auto"/>
        <w:left w:val="none" w:sz="0" w:space="0" w:color="auto"/>
        <w:bottom w:val="none" w:sz="0" w:space="0" w:color="auto"/>
        <w:right w:val="none" w:sz="0" w:space="0" w:color="auto"/>
      </w:divBdr>
    </w:div>
    <w:div w:id="1414543527">
      <w:bodyDiv w:val="1"/>
      <w:marLeft w:val="0"/>
      <w:marRight w:val="0"/>
      <w:marTop w:val="0"/>
      <w:marBottom w:val="0"/>
      <w:divBdr>
        <w:top w:val="none" w:sz="0" w:space="0" w:color="auto"/>
        <w:left w:val="none" w:sz="0" w:space="0" w:color="auto"/>
        <w:bottom w:val="none" w:sz="0" w:space="0" w:color="auto"/>
        <w:right w:val="none" w:sz="0" w:space="0" w:color="auto"/>
      </w:divBdr>
    </w:div>
    <w:div w:id="1448813015">
      <w:bodyDiv w:val="1"/>
      <w:marLeft w:val="0"/>
      <w:marRight w:val="0"/>
      <w:marTop w:val="0"/>
      <w:marBottom w:val="0"/>
      <w:divBdr>
        <w:top w:val="none" w:sz="0" w:space="0" w:color="auto"/>
        <w:left w:val="none" w:sz="0" w:space="0" w:color="auto"/>
        <w:bottom w:val="none" w:sz="0" w:space="0" w:color="auto"/>
        <w:right w:val="none" w:sz="0" w:space="0" w:color="auto"/>
      </w:divBdr>
    </w:div>
    <w:div w:id="1480803946">
      <w:bodyDiv w:val="1"/>
      <w:marLeft w:val="0"/>
      <w:marRight w:val="0"/>
      <w:marTop w:val="0"/>
      <w:marBottom w:val="0"/>
      <w:divBdr>
        <w:top w:val="none" w:sz="0" w:space="0" w:color="auto"/>
        <w:left w:val="none" w:sz="0" w:space="0" w:color="auto"/>
        <w:bottom w:val="none" w:sz="0" w:space="0" w:color="auto"/>
        <w:right w:val="none" w:sz="0" w:space="0" w:color="auto"/>
      </w:divBdr>
    </w:div>
    <w:div w:id="1578326512">
      <w:bodyDiv w:val="1"/>
      <w:marLeft w:val="0"/>
      <w:marRight w:val="0"/>
      <w:marTop w:val="0"/>
      <w:marBottom w:val="0"/>
      <w:divBdr>
        <w:top w:val="none" w:sz="0" w:space="0" w:color="auto"/>
        <w:left w:val="none" w:sz="0" w:space="0" w:color="auto"/>
        <w:bottom w:val="none" w:sz="0" w:space="0" w:color="auto"/>
        <w:right w:val="none" w:sz="0" w:space="0" w:color="auto"/>
      </w:divBdr>
    </w:div>
    <w:div w:id="1631128575">
      <w:bodyDiv w:val="1"/>
      <w:marLeft w:val="0"/>
      <w:marRight w:val="0"/>
      <w:marTop w:val="0"/>
      <w:marBottom w:val="0"/>
      <w:divBdr>
        <w:top w:val="none" w:sz="0" w:space="0" w:color="auto"/>
        <w:left w:val="none" w:sz="0" w:space="0" w:color="auto"/>
        <w:bottom w:val="none" w:sz="0" w:space="0" w:color="auto"/>
        <w:right w:val="none" w:sz="0" w:space="0" w:color="auto"/>
      </w:divBdr>
    </w:div>
    <w:div w:id="1683972864">
      <w:bodyDiv w:val="1"/>
      <w:marLeft w:val="0"/>
      <w:marRight w:val="0"/>
      <w:marTop w:val="0"/>
      <w:marBottom w:val="0"/>
      <w:divBdr>
        <w:top w:val="none" w:sz="0" w:space="0" w:color="auto"/>
        <w:left w:val="none" w:sz="0" w:space="0" w:color="auto"/>
        <w:bottom w:val="none" w:sz="0" w:space="0" w:color="auto"/>
        <w:right w:val="none" w:sz="0" w:space="0" w:color="auto"/>
      </w:divBdr>
    </w:div>
    <w:div w:id="1702582726">
      <w:bodyDiv w:val="1"/>
      <w:marLeft w:val="0"/>
      <w:marRight w:val="0"/>
      <w:marTop w:val="0"/>
      <w:marBottom w:val="0"/>
      <w:divBdr>
        <w:top w:val="none" w:sz="0" w:space="0" w:color="auto"/>
        <w:left w:val="none" w:sz="0" w:space="0" w:color="auto"/>
        <w:bottom w:val="none" w:sz="0" w:space="0" w:color="auto"/>
        <w:right w:val="none" w:sz="0" w:space="0" w:color="auto"/>
      </w:divBdr>
    </w:div>
    <w:div w:id="1729449959">
      <w:bodyDiv w:val="1"/>
      <w:marLeft w:val="0"/>
      <w:marRight w:val="0"/>
      <w:marTop w:val="0"/>
      <w:marBottom w:val="0"/>
      <w:divBdr>
        <w:top w:val="none" w:sz="0" w:space="0" w:color="auto"/>
        <w:left w:val="none" w:sz="0" w:space="0" w:color="auto"/>
        <w:bottom w:val="none" w:sz="0" w:space="0" w:color="auto"/>
        <w:right w:val="none" w:sz="0" w:space="0" w:color="auto"/>
      </w:divBdr>
    </w:div>
    <w:div w:id="1729649275">
      <w:bodyDiv w:val="1"/>
      <w:marLeft w:val="0"/>
      <w:marRight w:val="0"/>
      <w:marTop w:val="0"/>
      <w:marBottom w:val="0"/>
      <w:divBdr>
        <w:top w:val="none" w:sz="0" w:space="0" w:color="auto"/>
        <w:left w:val="none" w:sz="0" w:space="0" w:color="auto"/>
        <w:bottom w:val="none" w:sz="0" w:space="0" w:color="auto"/>
        <w:right w:val="none" w:sz="0" w:space="0" w:color="auto"/>
      </w:divBdr>
    </w:div>
    <w:div w:id="1782067981">
      <w:bodyDiv w:val="1"/>
      <w:marLeft w:val="0"/>
      <w:marRight w:val="0"/>
      <w:marTop w:val="0"/>
      <w:marBottom w:val="0"/>
      <w:divBdr>
        <w:top w:val="none" w:sz="0" w:space="0" w:color="auto"/>
        <w:left w:val="none" w:sz="0" w:space="0" w:color="auto"/>
        <w:bottom w:val="none" w:sz="0" w:space="0" w:color="auto"/>
        <w:right w:val="none" w:sz="0" w:space="0" w:color="auto"/>
      </w:divBdr>
    </w:div>
    <w:div w:id="1838839198">
      <w:bodyDiv w:val="1"/>
      <w:marLeft w:val="0"/>
      <w:marRight w:val="0"/>
      <w:marTop w:val="0"/>
      <w:marBottom w:val="0"/>
      <w:divBdr>
        <w:top w:val="none" w:sz="0" w:space="0" w:color="auto"/>
        <w:left w:val="none" w:sz="0" w:space="0" w:color="auto"/>
        <w:bottom w:val="none" w:sz="0" w:space="0" w:color="auto"/>
        <w:right w:val="none" w:sz="0" w:space="0" w:color="auto"/>
      </w:divBdr>
    </w:div>
    <w:div w:id="1879659830">
      <w:bodyDiv w:val="1"/>
      <w:marLeft w:val="0"/>
      <w:marRight w:val="0"/>
      <w:marTop w:val="0"/>
      <w:marBottom w:val="0"/>
      <w:divBdr>
        <w:top w:val="none" w:sz="0" w:space="0" w:color="auto"/>
        <w:left w:val="none" w:sz="0" w:space="0" w:color="auto"/>
        <w:bottom w:val="none" w:sz="0" w:space="0" w:color="auto"/>
        <w:right w:val="none" w:sz="0" w:space="0" w:color="auto"/>
      </w:divBdr>
    </w:div>
    <w:div w:id="1905798432">
      <w:bodyDiv w:val="1"/>
      <w:marLeft w:val="0"/>
      <w:marRight w:val="0"/>
      <w:marTop w:val="0"/>
      <w:marBottom w:val="0"/>
      <w:divBdr>
        <w:top w:val="none" w:sz="0" w:space="0" w:color="auto"/>
        <w:left w:val="none" w:sz="0" w:space="0" w:color="auto"/>
        <w:bottom w:val="none" w:sz="0" w:space="0" w:color="auto"/>
        <w:right w:val="none" w:sz="0" w:space="0" w:color="auto"/>
      </w:divBdr>
    </w:div>
    <w:div w:id="1930696160">
      <w:bodyDiv w:val="1"/>
      <w:marLeft w:val="0"/>
      <w:marRight w:val="0"/>
      <w:marTop w:val="0"/>
      <w:marBottom w:val="0"/>
      <w:divBdr>
        <w:top w:val="none" w:sz="0" w:space="0" w:color="auto"/>
        <w:left w:val="none" w:sz="0" w:space="0" w:color="auto"/>
        <w:bottom w:val="none" w:sz="0" w:space="0" w:color="auto"/>
        <w:right w:val="none" w:sz="0" w:space="0" w:color="auto"/>
      </w:divBdr>
    </w:div>
    <w:div w:id="1996759986">
      <w:bodyDiv w:val="1"/>
      <w:marLeft w:val="0"/>
      <w:marRight w:val="0"/>
      <w:marTop w:val="0"/>
      <w:marBottom w:val="0"/>
      <w:divBdr>
        <w:top w:val="none" w:sz="0" w:space="0" w:color="auto"/>
        <w:left w:val="none" w:sz="0" w:space="0" w:color="auto"/>
        <w:bottom w:val="none" w:sz="0" w:space="0" w:color="auto"/>
        <w:right w:val="none" w:sz="0" w:space="0" w:color="auto"/>
      </w:divBdr>
    </w:div>
    <w:div w:id="2044556345">
      <w:bodyDiv w:val="1"/>
      <w:marLeft w:val="0"/>
      <w:marRight w:val="0"/>
      <w:marTop w:val="0"/>
      <w:marBottom w:val="0"/>
      <w:divBdr>
        <w:top w:val="none" w:sz="0" w:space="0" w:color="auto"/>
        <w:left w:val="none" w:sz="0" w:space="0" w:color="auto"/>
        <w:bottom w:val="none" w:sz="0" w:space="0" w:color="auto"/>
        <w:right w:val="none" w:sz="0" w:space="0" w:color="auto"/>
      </w:divBdr>
    </w:div>
    <w:div w:id="2053649100">
      <w:bodyDiv w:val="1"/>
      <w:marLeft w:val="0"/>
      <w:marRight w:val="0"/>
      <w:marTop w:val="0"/>
      <w:marBottom w:val="0"/>
      <w:divBdr>
        <w:top w:val="none" w:sz="0" w:space="0" w:color="auto"/>
        <w:left w:val="none" w:sz="0" w:space="0" w:color="auto"/>
        <w:bottom w:val="none" w:sz="0" w:space="0" w:color="auto"/>
        <w:right w:val="none" w:sz="0" w:space="0" w:color="auto"/>
      </w:divBdr>
    </w:div>
    <w:div w:id="2058702665">
      <w:bodyDiv w:val="1"/>
      <w:marLeft w:val="0"/>
      <w:marRight w:val="0"/>
      <w:marTop w:val="0"/>
      <w:marBottom w:val="0"/>
      <w:divBdr>
        <w:top w:val="none" w:sz="0" w:space="0" w:color="auto"/>
        <w:left w:val="none" w:sz="0" w:space="0" w:color="auto"/>
        <w:bottom w:val="none" w:sz="0" w:space="0" w:color="auto"/>
        <w:right w:val="none" w:sz="0" w:space="0" w:color="auto"/>
      </w:divBdr>
    </w:div>
    <w:div w:id="212568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bu.ua/" TargetMode="External"/><Relationship Id="rId18" Type="http://schemas.openxmlformats.org/officeDocument/2006/relationships/hyperlink" Target="https://www.ema.com.ua/" TargetMode="External"/><Relationship Id="rId26" Type="http://schemas.openxmlformats.org/officeDocument/2006/relationships/hyperlink" Target="https://www.pravex.com.ua/storage/files/annualreportpravexbank2023withauditorreport-ukr.pdf" TargetMode="External"/><Relationship Id="rId39" Type="http://schemas.openxmlformats.org/officeDocument/2006/relationships/hyperlink" Target="https://www.pravex.com.ua/storage/files/kodekskorporativnogoupravlinnya2024.pdf" TargetMode="External"/><Relationship Id="rId21" Type="http://schemas.openxmlformats.org/officeDocument/2006/relationships/hyperlink" Target="https://www.pravex.com.ua/o-banke/pro-nas/rejtingi-ta-zvitnist" TargetMode="External"/><Relationship Id="rId34" Type="http://schemas.openxmlformats.org/officeDocument/2006/relationships/hyperlink" Target="https://www.pravex.com.ua/storage/files/zvit-pravlinnya-2024.rar" TargetMode="External"/><Relationship Id="rId42" Type="http://schemas.openxmlformats.org/officeDocument/2006/relationships/hyperlink" Target="https://www.pravex.com.ua/storage/files/promizhna-2-kvartal.ra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ba.com.ua/" TargetMode="External"/><Relationship Id="rId29" Type="http://schemas.openxmlformats.org/officeDocument/2006/relationships/hyperlink" Target="https://www.pravex.com.ua/storage/files/rishennya-3-2024-0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avex.com.ua/storage/files/organizacijna-strukutura-banku-stanom-na-20.pdf" TargetMode="External"/><Relationship Id="rId24" Type="http://schemas.openxmlformats.org/officeDocument/2006/relationships/hyperlink" Target="tel:+%2038%20044%20364%2023%2063" TargetMode="External"/><Relationship Id="rId32" Type="http://schemas.openxmlformats.org/officeDocument/2006/relationships/hyperlink" Target="https://www.pravex.com.ua/storage/files/rishennya-akcionera-6-12_1734436412.rar" TargetMode="External"/><Relationship Id="rId37" Type="http://schemas.openxmlformats.org/officeDocument/2006/relationships/hyperlink" Target="https://www.pravex.com.ua/storage/files/polozhennya-pro-nr.pdf" TargetMode="External"/><Relationship Id="rId40" Type="http://schemas.openxmlformats.org/officeDocument/2006/relationships/hyperlink" Target="https://www.pravex.com.ua/storage/files/politikavinagorodiatpraveksbankvid28_1734419431.pd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lifi.ua/ua/" TargetMode="External"/><Relationship Id="rId23" Type="http://schemas.openxmlformats.org/officeDocument/2006/relationships/hyperlink" Target="https://www.pravex.com.ua/storage/files/annualreportpravexbank2023withauditorreport-ukr.pdf" TargetMode="External"/><Relationship Id="rId28" Type="http://schemas.openxmlformats.org/officeDocument/2006/relationships/hyperlink" Target="https://www.pravex.com.ua/storage/files/rishennya-3-2024-04.pdf" TargetMode="External"/><Relationship Id="rId36" Type="http://schemas.openxmlformats.org/officeDocument/2006/relationships/hyperlink" Target="https://www.pravex.com.ua/storage/files/statut-28_1721999367.pdf" TargetMode="External"/><Relationship Id="rId10" Type="http://schemas.openxmlformats.org/officeDocument/2006/relationships/hyperlink" Target="https://www.pravex.com.ua/storage/files/zvit-pro-vinagorodu-2024.rar" TargetMode="External"/><Relationship Id="rId19" Type="http://schemas.openxmlformats.org/officeDocument/2006/relationships/hyperlink" Target="https://www.pard.ua/" TargetMode="External"/><Relationship Id="rId31" Type="http://schemas.openxmlformats.org/officeDocument/2006/relationships/hyperlink" Target="https://www.pravex.com.ua/storage/files/rishennya-akcionera-5-22.rar" TargetMode="External"/><Relationship Id="rId44" Type="http://schemas.openxmlformats.org/officeDocument/2006/relationships/hyperlink" Target="https://www.pravex.com.ua/storage/files/promizhna-4-kv.rar" TargetMode="External"/><Relationship Id="rId4" Type="http://schemas.openxmlformats.org/officeDocument/2006/relationships/customXml" Target="../customXml/item4.xml"/><Relationship Id="rId9" Type="http://schemas.openxmlformats.org/officeDocument/2006/relationships/hyperlink" Target="https://www.pravex.com.ua/storage/files/ukr-sb-remuneration.rar" TargetMode="External"/><Relationship Id="rId14" Type="http://schemas.openxmlformats.org/officeDocument/2006/relationships/hyperlink" Target="https://chamber.ua/ua/" TargetMode="External"/><Relationship Id="rId22" Type="http://schemas.openxmlformats.org/officeDocument/2006/relationships/hyperlink" Target="https://www.pravex.com.ua/" TargetMode="External"/><Relationship Id="rId27" Type="http://schemas.openxmlformats.org/officeDocument/2006/relationships/hyperlink" Target="https://www.pravex.com.ua/storage/files/rishennya-akcionera-1-09.pdf" TargetMode="External"/><Relationship Id="rId30" Type="http://schemas.openxmlformats.org/officeDocument/2006/relationships/hyperlink" Target="https://www.pravex.com.ua/storage/files/rishennya-akcionera-4-2024.rar" TargetMode="External"/><Relationship Id="rId35" Type="http://schemas.openxmlformats.org/officeDocument/2006/relationships/hyperlink" Target="https://www.pravex.com.ua/storage/files/annualreportpravexbank2023withauditorreport-ukr.pdf" TargetMode="External"/><Relationship Id="rId43" Type="http://schemas.openxmlformats.org/officeDocument/2006/relationships/hyperlink" Target="https://www.pravex.com.ua/storage/files/promizhna-3-kv.ra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ravex.com.ua/storage/files/shematichnezobrazhennyastrukturivlasnosti.pdf" TargetMode="External"/><Relationship Id="rId17" Type="http://schemas.openxmlformats.org/officeDocument/2006/relationships/hyperlink" Target="https://globalcompact.org.ua/" TargetMode="External"/><Relationship Id="rId25" Type="http://schemas.openxmlformats.org/officeDocument/2006/relationships/hyperlink" Target="https://www.pravex.com.ua/otdeleniya-i-bankomaty" TargetMode="External"/><Relationship Id="rId33" Type="http://schemas.openxmlformats.org/officeDocument/2006/relationships/hyperlink" Target="https://www.pravex.com.ua/storage/files/ukr-sb-report.rar" TargetMode="External"/><Relationship Id="rId38" Type="http://schemas.openxmlformats.org/officeDocument/2006/relationships/hyperlink" Target="https://www.pravex.com.ua/storage/files/polozhennya-pro-pravlinnya-12.pdf" TargetMode="External"/><Relationship Id="rId46" Type="http://schemas.openxmlformats.org/officeDocument/2006/relationships/theme" Target="theme/theme1.xml"/><Relationship Id="rId20" Type="http://schemas.openxmlformats.org/officeDocument/2006/relationships/hyperlink" Target="https://www.ukrswift.org/" TargetMode="External"/><Relationship Id="rId41" Type="http://schemas.openxmlformats.org/officeDocument/2006/relationships/hyperlink" Target="https://www.pravex.com.ua/storage/files/promizhna-1-kvartal.ra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289008DB08CD4A9E0F342A17461695" ma:contentTypeVersion="12" ma:contentTypeDescription="Create a new document." ma:contentTypeScope="" ma:versionID="13b713a6d0149b05929a526829c88c53">
  <xsd:schema xmlns:xsd="http://www.w3.org/2001/XMLSchema" xmlns:xs="http://www.w3.org/2001/XMLSchema" xmlns:p="http://schemas.microsoft.com/office/2006/metadata/properties" xmlns:ns3="936c14a9-b382-4b74-afe7-33e57e560656" xmlns:ns4="051a9dc3-e8b7-4381-b2f4-f34708bcd6e0" targetNamespace="http://schemas.microsoft.com/office/2006/metadata/properties" ma:root="true" ma:fieldsID="321038348c1358bb6fb1cb98968b0e1a" ns3:_="" ns4:_="">
    <xsd:import namespace="936c14a9-b382-4b74-afe7-33e57e560656"/>
    <xsd:import namespace="051a9dc3-e8b7-4381-b2f4-f34708bcd6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c14a9-b382-4b74-afe7-33e57e56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a9dc3-e8b7-4381-b2f4-f34708bcd6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36c14a9-b382-4b74-afe7-33e57e560656" xsi:nil="true"/>
  </documentManagement>
</p:properties>
</file>

<file path=customXml/itemProps1.xml><?xml version="1.0" encoding="utf-8"?>
<ds:datastoreItem xmlns:ds="http://schemas.openxmlformats.org/officeDocument/2006/customXml" ds:itemID="{EACBEA3B-10E4-413F-BDBA-3BBE7ECEE217}">
  <ds:schemaRefs>
    <ds:schemaRef ds:uri="http://schemas.openxmlformats.org/officeDocument/2006/bibliography"/>
  </ds:schemaRefs>
</ds:datastoreItem>
</file>

<file path=customXml/itemProps2.xml><?xml version="1.0" encoding="utf-8"?>
<ds:datastoreItem xmlns:ds="http://schemas.openxmlformats.org/officeDocument/2006/customXml" ds:itemID="{2100DFE7-C805-4E78-B60E-3F872B87C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c14a9-b382-4b74-afe7-33e57e560656"/>
    <ds:schemaRef ds:uri="051a9dc3-e8b7-4381-b2f4-f34708bcd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60290-0496-4941-B092-E445DFF41F87}">
  <ds:schemaRefs>
    <ds:schemaRef ds:uri="http://schemas.microsoft.com/sharepoint/v3/contenttype/forms"/>
  </ds:schemaRefs>
</ds:datastoreItem>
</file>

<file path=customXml/itemProps4.xml><?xml version="1.0" encoding="utf-8"?>
<ds:datastoreItem xmlns:ds="http://schemas.openxmlformats.org/officeDocument/2006/customXml" ds:itemID="{92E8CB72-062F-4360-9D6B-A08849521FD6}">
  <ds:schemaRefs>
    <ds:schemaRef ds:uri="http://schemas.microsoft.com/office/2006/metadata/properties"/>
    <ds:schemaRef ds:uri="http://schemas.microsoft.com/office/infopath/2007/PartnerControls"/>
    <ds:schemaRef ds:uri="936c14a9-b382-4b74-afe7-33e57e560656"/>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97</Pages>
  <Words>33967</Words>
  <Characters>236257</Characters>
  <Application>Microsoft Office Word</Application>
  <DocSecurity>0</DocSecurity>
  <Lines>1968</Lines>
  <Paragraphs>539</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 Kateryna Petrivna</dc:creator>
  <cp:keywords/>
  <dc:description/>
  <cp:lastModifiedBy>Daria Fedorova</cp:lastModifiedBy>
  <cp:revision>6</cp:revision>
  <cp:lastPrinted>2025-06-23T08:34:00Z</cp:lastPrinted>
  <dcterms:created xsi:type="dcterms:W3CDTF">2025-06-11T18:32:00Z</dcterms:created>
  <dcterms:modified xsi:type="dcterms:W3CDTF">2025-06-23T08:53:00Z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0x0101002F289008DB08CD4A9E0F342A17461695</vt:lpwstr>
  </property>
</Properties>
</file>