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109" w:rsidRPr="00030FDD" w:rsidRDefault="00815ED4" w:rsidP="00815ED4">
      <w:pPr>
        <w:pStyle w:val="af"/>
        <w:tabs>
          <w:tab w:val="left" w:pos="0"/>
        </w:tabs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color w:val="auto"/>
          <w:sz w:val="22"/>
          <w:szCs w:val="22"/>
          <w:lang w:val="uk-UA"/>
        </w:rPr>
        <w:t>ПРАВИЛА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br/>
        <w:t>КОРИСТУВАННЯ ЕЛЕКТРОННИМ ПЛАТІЖНИМ ЗАСОБОМ</w:t>
      </w:r>
    </w:p>
    <w:p w:rsidR="00815ED4" w:rsidRPr="00030FDD" w:rsidRDefault="00815ED4" w:rsidP="00815ED4">
      <w:pPr>
        <w:spacing w:after="0" w:line="240" w:lineRule="auto"/>
      </w:pPr>
    </w:p>
    <w:p w:rsidR="00815ED4" w:rsidRPr="00030FDD" w:rsidRDefault="00815ED4" w:rsidP="00FC6FF7">
      <w:pPr>
        <w:pStyle w:val="aa"/>
        <w:numPr>
          <w:ilvl w:val="0"/>
          <w:numId w:val="3"/>
        </w:numPr>
        <w:tabs>
          <w:tab w:val="left" w:pos="567"/>
        </w:tabs>
        <w:spacing w:after="0"/>
        <w:ind w:left="0" w:right="-1" w:firstLine="0"/>
        <w:rPr>
          <w:rFonts w:ascii="Arial" w:eastAsia="MS Mincho" w:hAnsi="Arial" w:cs="Arial"/>
          <w:b/>
          <w:sz w:val="22"/>
          <w:szCs w:val="22"/>
          <w:lang w:val="uk-UA"/>
        </w:rPr>
      </w:pP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>ЗАГАЛЬНІ ПОЛОЖЕННЯ</w:t>
      </w:r>
    </w:p>
    <w:p w:rsidR="00815ED4" w:rsidRPr="00030FDD" w:rsidRDefault="00815ED4" w:rsidP="00815ED4">
      <w:pPr>
        <w:spacing w:after="0" w:line="240" w:lineRule="auto"/>
      </w:pPr>
    </w:p>
    <w:p w:rsidR="00C547DB" w:rsidRPr="00030FDD" w:rsidRDefault="00815ED4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Ці </w:t>
      </w:r>
      <w:r w:rsidR="00C547DB" w:rsidRPr="00030FDD">
        <w:rPr>
          <w:rFonts w:ascii="Arial" w:hAnsi="Arial" w:cs="Arial"/>
          <w:sz w:val="22"/>
          <w:szCs w:val="22"/>
          <w:lang w:val="uk-UA"/>
        </w:rPr>
        <w:t xml:space="preserve">Правила установлюють окремі </w:t>
      </w:r>
      <w:r w:rsidR="00075860" w:rsidRPr="00030FDD">
        <w:rPr>
          <w:rFonts w:ascii="Arial" w:hAnsi="Arial" w:cs="Arial"/>
          <w:sz w:val="22"/>
          <w:szCs w:val="22"/>
          <w:lang w:val="uk-UA"/>
        </w:rPr>
        <w:t xml:space="preserve">технічні </w:t>
      </w:r>
      <w:r w:rsidR="00C547DB" w:rsidRPr="00030FDD">
        <w:rPr>
          <w:rFonts w:ascii="Arial" w:hAnsi="Arial" w:cs="Arial"/>
          <w:sz w:val="22"/>
          <w:szCs w:val="22"/>
          <w:lang w:val="uk-UA"/>
        </w:rPr>
        <w:t xml:space="preserve">вимоги і порядок надання Банком ЕПЗ, здійснення держателем операцій з використанням ЕПЗ, містять вказівки або рекомендації </w:t>
      </w:r>
      <w:r w:rsidR="005B10C3" w:rsidRPr="00030FDD">
        <w:rPr>
          <w:rFonts w:ascii="Arial" w:hAnsi="Arial" w:cs="Arial"/>
          <w:sz w:val="22"/>
          <w:szCs w:val="22"/>
          <w:lang w:val="uk-UA"/>
        </w:rPr>
        <w:t>держателю ЕПЗ</w:t>
      </w:r>
      <w:r w:rsidR="00C547DB" w:rsidRPr="00030FDD">
        <w:rPr>
          <w:rFonts w:ascii="Arial" w:hAnsi="Arial" w:cs="Arial"/>
          <w:sz w:val="22"/>
          <w:szCs w:val="22"/>
          <w:lang w:val="uk-UA"/>
        </w:rPr>
        <w:t xml:space="preserve"> щодо безпечного використання ЕПЗ.</w:t>
      </w:r>
    </w:p>
    <w:p w:rsidR="00815ED4" w:rsidRPr="00030FDD" w:rsidRDefault="00815ED4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Умови цих Правил застосовуються додатково до Договору, в межах якого Банк здійснює ведення рахунку Клієнта та емісію ЕПЗ.</w:t>
      </w:r>
    </w:p>
    <w:p w:rsidR="006904AC" w:rsidRDefault="006904AC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Якщо умови цих Правил суперечать умовам Договору, перевагу мають умови Договору.</w:t>
      </w:r>
    </w:p>
    <w:p w:rsidR="00F94CF8" w:rsidRPr="00030FDD" w:rsidRDefault="00F94CF8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Банк </w:t>
      </w:r>
      <w:r>
        <w:rPr>
          <w:rFonts w:ascii="Arial" w:hAnsi="Arial" w:cs="Arial"/>
          <w:sz w:val="22"/>
          <w:szCs w:val="22"/>
          <w:lang w:val="uk-UA"/>
        </w:rPr>
        <w:t>може вносити зміни до цих Правил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. Клієнт має можливість ознайомитися </w:t>
      </w:r>
      <w:r w:rsidR="00CB5454">
        <w:rPr>
          <w:rFonts w:ascii="Arial" w:hAnsi="Arial" w:cs="Arial"/>
          <w:sz w:val="22"/>
          <w:szCs w:val="22"/>
          <w:lang w:val="uk-UA"/>
        </w:rPr>
        <w:t xml:space="preserve">з </w:t>
      </w:r>
      <w:r w:rsidR="00CC56D2">
        <w:rPr>
          <w:rFonts w:ascii="Arial" w:hAnsi="Arial" w:cs="Arial"/>
          <w:sz w:val="22"/>
          <w:szCs w:val="22"/>
          <w:lang w:val="uk-UA"/>
        </w:rPr>
        <w:t xml:space="preserve">актуальною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редакцією </w:t>
      </w:r>
      <w:r w:rsidR="00CC56D2">
        <w:rPr>
          <w:rFonts w:ascii="Arial" w:hAnsi="Arial" w:cs="Arial"/>
          <w:sz w:val="22"/>
          <w:szCs w:val="22"/>
          <w:lang w:val="uk-UA"/>
        </w:rPr>
        <w:t xml:space="preserve">цих Правил </w:t>
      </w:r>
      <w:r w:rsidRPr="00030FDD">
        <w:rPr>
          <w:rFonts w:ascii="Arial" w:hAnsi="Arial" w:cs="Arial"/>
          <w:sz w:val="22"/>
          <w:szCs w:val="22"/>
          <w:lang w:val="uk-UA"/>
        </w:rPr>
        <w:t>на сайті Банку.</w:t>
      </w:r>
    </w:p>
    <w:p w:rsidR="004B51F5" w:rsidRPr="00030FDD" w:rsidRDefault="004B51F5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На сайті Банку можуть розміщуватися додаткові матеріали, вимоги і рекомендації з питань користування ЕПЗ. Банк рекомендує Клієнту </w:t>
      </w:r>
      <w:r w:rsidR="001F4AE6" w:rsidRPr="00030FDD">
        <w:rPr>
          <w:rFonts w:ascii="Arial" w:hAnsi="Arial" w:cs="Arial"/>
          <w:sz w:val="22"/>
          <w:szCs w:val="22"/>
          <w:lang w:val="uk-UA"/>
        </w:rPr>
        <w:t xml:space="preserve">і держателю </w:t>
      </w:r>
      <w:r w:rsidRPr="00030FDD">
        <w:rPr>
          <w:rFonts w:ascii="Arial" w:hAnsi="Arial" w:cs="Arial"/>
          <w:sz w:val="22"/>
          <w:szCs w:val="22"/>
          <w:lang w:val="uk-UA"/>
        </w:rPr>
        <w:t>регулярно ознайомлюватися з такою додатковою інформацією.</w:t>
      </w:r>
    </w:p>
    <w:p w:rsidR="00910BA8" w:rsidRPr="00030FDD" w:rsidRDefault="00910BA8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У разі використання ЕПЗ у мобільному гаманці </w:t>
      </w:r>
      <w:r w:rsidR="00075860" w:rsidRPr="00030FDD">
        <w:rPr>
          <w:rFonts w:ascii="Arial" w:hAnsi="Arial" w:cs="Arial"/>
          <w:sz w:val="22"/>
          <w:szCs w:val="22"/>
          <w:lang w:val="uk-UA"/>
        </w:rPr>
        <w:t xml:space="preserve">(наприклад, </w:t>
      </w:r>
      <w:proofErr w:type="spellStart"/>
      <w:r w:rsidR="00075860" w:rsidRPr="00030FDD">
        <w:rPr>
          <w:rFonts w:ascii="Arial" w:hAnsi="Arial" w:cs="Arial"/>
          <w:sz w:val="22"/>
          <w:szCs w:val="22"/>
          <w:lang w:val="uk-UA"/>
        </w:rPr>
        <w:t>Google</w:t>
      </w:r>
      <w:proofErr w:type="spellEnd"/>
      <w:r w:rsidR="00075860"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075860" w:rsidRPr="00030FDD">
        <w:rPr>
          <w:rFonts w:ascii="Arial" w:hAnsi="Arial" w:cs="Arial"/>
          <w:sz w:val="22"/>
          <w:szCs w:val="22"/>
          <w:lang w:val="uk-UA"/>
        </w:rPr>
        <w:t>Pay</w:t>
      </w:r>
      <w:proofErr w:type="spellEnd"/>
      <w:r w:rsidR="00075860" w:rsidRPr="00030FDD">
        <w:rPr>
          <w:rFonts w:ascii="Arial" w:hAnsi="Arial" w:cs="Arial"/>
          <w:sz w:val="22"/>
          <w:szCs w:val="22"/>
          <w:lang w:val="uk-UA"/>
        </w:rPr>
        <w:t xml:space="preserve">, </w:t>
      </w:r>
      <w:proofErr w:type="spellStart"/>
      <w:r w:rsidR="00075860" w:rsidRPr="00030FDD">
        <w:rPr>
          <w:rFonts w:ascii="Arial" w:hAnsi="Arial" w:cs="Arial"/>
          <w:sz w:val="22"/>
          <w:szCs w:val="22"/>
          <w:lang w:val="uk-UA"/>
        </w:rPr>
        <w:t>Apple</w:t>
      </w:r>
      <w:proofErr w:type="spellEnd"/>
      <w:r w:rsidR="00075860"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075860" w:rsidRPr="00030FDD">
        <w:rPr>
          <w:rFonts w:ascii="Arial" w:hAnsi="Arial" w:cs="Arial"/>
          <w:sz w:val="22"/>
          <w:szCs w:val="22"/>
          <w:lang w:val="uk-UA"/>
        </w:rPr>
        <w:t>Pay</w:t>
      </w:r>
      <w:proofErr w:type="spellEnd"/>
      <w:r w:rsidR="00075860" w:rsidRPr="00030FDD">
        <w:rPr>
          <w:rFonts w:ascii="Arial" w:hAnsi="Arial" w:cs="Arial"/>
          <w:sz w:val="22"/>
          <w:szCs w:val="22"/>
          <w:lang w:val="uk-UA"/>
        </w:rPr>
        <w:t xml:space="preserve"> та ін.)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застосовуються також умови використання ЕПЗ у </w:t>
      </w:r>
      <w:r w:rsidR="00075860" w:rsidRPr="00030FDD">
        <w:rPr>
          <w:rFonts w:ascii="Arial" w:hAnsi="Arial" w:cs="Arial"/>
          <w:sz w:val="22"/>
          <w:szCs w:val="22"/>
          <w:lang w:val="uk-UA"/>
        </w:rPr>
        <w:t>мобільному гаманці</w:t>
      </w:r>
      <w:r w:rsidRPr="00030FDD">
        <w:rPr>
          <w:rFonts w:ascii="Arial" w:hAnsi="Arial" w:cs="Arial"/>
          <w:sz w:val="22"/>
          <w:szCs w:val="22"/>
          <w:lang w:val="uk-UA"/>
        </w:rPr>
        <w:t>, що додаються.</w:t>
      </w:r>
    </w:p>
    <w:p w:rsidR="00815ED4" w:rsidRPr="00030FDD" w:rsidRDefault="00815ED4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Терміни, що вживаються у цих Правилах, мають значення, надані їм у Договорі, якщо у цих Правилах їм не надано інше значення.</w:t>
      </w:r>
    </w:p>
    <w:p w:rsidR="00433444" w:rsidRPr="00030FDD" w:rsidRDefault="00433444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З усіх проблемних ситуацій, пов’язаних з ЕПЗ, держатель може зателефонувати до Банку за контактними номерами телефонів Банку.</w:t>
      </w:r>
    </w:p>
    <w:p w:rsidR="00136417" w:rsidRPr="00030FDD" w:rsidRDefault="00136417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Для цілей цих Правил </w:t>
      </w:r>
      <w:r w:rsidRPr="00030FDD">
        <w:rPr>
          <w:rFonts w:ascii="Arial" w:hAnsi="Arial" w:cs="Arial"/>
          <w:sz w:val="22"/>
          <w:szCs w:val="22"/>
          <w:u w:val="single"/>
          <w:lang w:val="uk-UA"/>
        </w:rPr>
        <w:t>контактними номерами телефонів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Банку є (044) 521 04 04 (м.</w:t>
      </w:r>
      <w:r w:rsidR="00C07900" w:rsidRPr="00030FDD">
        <w:rPr>
          <w:rFonts w:ascii="Arial" w:hAnsi="Arial" w:cs="Arial"/>
          <w:sz w:val="22"/>
          <w:szCs w:val="22"/>
          <w:lang w:val="uk-UA"/>
        </w:rPr>
        <w:t> </w:t>
      </w:r>
      <w:r w:rsidRPr="00030FDD">
        <w:rPr>
          <w:rFonts w:ascii="Arial" w:hAnsi="Arial" w:cs="Arial"/>
          <w:sz w:val="22"/>
          <w:szCs w:val="22"/>
          <w:lang w:val="uk-UA"/>
        </w:rPr>
        <w:t>Київ, дзвінки тарифікуються згідно з умовами операторів зв’язку) або 0 800 500 450 (безкоштовно зі стаціонарних телефонів у межах України, з інших номерів телефонів дзвінки тарифікуються згідно з умовами операторів зв’язку).</w:t>
      </w:r>
    </w:p>
    <w:p w:rsidR="00C547DB" w:rsidRPr="00030FDD" w:rsidRDefault="00C547DB" w:rsidP="00C547DB">
      <w:pPr>
        <w:spacing w:after="0" w:line="240" w:lineRule="auto"/>
      </w:pPr>
    </w:p>
    <w:p w:rsidR="00C547DB" w:rsidRPr="00030FDD" w:rsidRDefault="00C547DB" w:rsidP="00FC6FF7">
      <w:pPr>
        <w:pStyle w:val="aa"/>
        <w:numPr>
          <w:ilvl w:val="0"/>
          <w:numId w:val="3"/>
        </w:numPr>
        <w:tabs>
          <w:tab w:val="left" w:pos="567"/>
        </w:tabs>
        <w:spacing w:after="0"/>
        <w:ind w:left="0" w:right="-1" w:firstLine="0"/>
        <w:rPr>
          <w:rFonts w:ascii="Arial" w:eastAsia="MS Mincho" w:hAnsi="Arial" w:cs="Arial"/>
          <w:b/>
          <w:sz w:val="22"/>
          <w:szCs w:val="22"/>
          <w:lang w:val="uk-UA"/>
        </w:rPr>
      </w:pP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>ЕМІСІЯ І НАДАННЯ ЕПЗ</w:t>
      </w:r>
    </w:p>
    <w:p w:rsidR="00C547DB" w:rsidRPr="00030FDD" w:rsidRDefault="00C547DB" w:rsidP="00C547DB">
      <w:pPr>
        <w:spacing w:after="0" w:line="240" w:lineRule="auto"/>
      </w:pPr>
    </w:p>
    <w:p w:rsidR="009F3FC1" w:rsidRPr="00030FDD" w:rsidRDefault="006904AC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ЕПЗ</w:t>
      </w:r>
      <w:r w:rsidR="009F3FC1" w:rsidRPr="00030FDD">
        <w:rPr>
          <w:rFonts w:ascii="Arial" w:hAnsi="Arial" w:cs="Arial"/>
          <w:sz w:val="22"/>
          <w:szCs w:val="22"/>
          <w:lang w:val="uk-UA"/>
        </w:rPr>
        <w:t xml:space="preserve"> можуть випускатися з ПІН-кодом (якщо це передбачено продуктом) у спеціальному конверті або без нього. Банк самостійно визначає</w:t>
      </w:r>
      <w:r w:rsidR="005B10C3" w:rsidRPr="00030FDD">
        <w:rPr>
          <w:rFonts w:ascii="Arial" w:hAnsi="Arial" w:cs="Arial"/>
          <w:sz w:val="22"/>
          <w:szCs w:val="22"/>
          <w:lang w:val="uk-UA"/>
        </w:rPr>
        <w:t>,</w:t>
      </w:r>
      <w:r w:rsidR="009F3FC1" w:rsidRPr="00030FDD">
        <w:rPr>
          <w:rFonts w:ascii="Arial" w:hAnsi="Arial" w:cs="Arial"/>
          <w:sz w:val="22"/>
          <w:szCs w:val="22"/>
          <w:lang w:val="uk-UA"/>
        </w:rPr>
        <w:t xml:space="preserve"> для яких типів </w:t>
      </w:r>
      <w:r w:rsidRPr="00030FDD">
        <w:rPr>
          <w:rFonts w:ascii="Arial" w:hAnsi="Arial" w:cs="Arial"/>
          <w:sz w:val="22"/>
          <w:szCs w:val="22"/>
          <w:lang w:val="uk-UA"/>
        </w:rPr>
        <w:t>ЕПЗ</w:t>
      </w:r>
      <w:r w:rsidR="009F3FC1" w:rsidRPr="00030FDD">
        <w:rPr>
          <w:rFonts w:ascii="Arial" w:hAnsi="Arial" w:cs="Arial"/>
          <w:sz w:val="22"/>
          <w:szCs w:val="22"/>
          <w:lang w:val="uk-UA"/>
        </w:rPr>
        <w:t xml:space="preserve"> надається ПІН-код, а для яких - ні. </w:t>
      </w:r>
    </w:p>
    <w:p w:rsidR="006904AC" w:rsidRPr="00030FDD" w:rsidRDefault="005B10C3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Щ</w:t>
      </w:r>
      <w:r w:rsidR="009F3FC1" w:rsidRPr="00030FDD">
        <w:rPr>
          <w:rFonts w:ascii="Arial" w:hAnsi="Arial" w:cs="Arial"/>
          <w:sz w:val="22"/>
          <w:szCs w:val="22"/>
          <w:lang w:val="uk-UA"/>
        </w:rPr>
        <w:t xml:space="preserve">об дізнатись ПІН-код, </w:t>
      </w:r>
      <w:r w:rsidR="006904AC" w:rsidRPr="00030FDD">
        <w:rPr>
          <w:rFonts w:ascii="Arial" w:hAnsi="Arial" w:cs="Arial"/>
          <w:sz w:val="22"/>
          <w:szCs w:val="22"/>
          <w:lang w:val="uk-UA"/>
        </w:rPr>
        <w:t>д</w:t>
      </w:r>
      <w:r w:rsidR="009F3FC1" w:rsidRPr="00030FDD">
        <w:rPr>
          <w:rFonts w:ascii="Arial" w:hAnsi="Arial" w:cs="Arial"/>
          <w:sz w:val="22"/>
          <w:szCs w:val="22"/>
          <w:lang w:val="uk-UA"/>
        </w:rPr>
        <w:t>ержатель повинен розкрити конверт, запам’ятати ПІН-код, знищити ПІН-конверт</w:t>
      </w:r>
      <w:r w:rsidR="006904AC"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9F3FC1" w:rsidRPr="00030FDD" w:rsidRDefault="006904AC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Держатель </w:t>
      </w:r>
      <w:r w:rsidR="009F3FC1" w:rsidRPr="00030FDD">
        <w:rPr>
          <w:rFonts w:ascii="Arial" w:hAnsi="Arial" w:cs="Arial"/>
          <w:sz w:val="22"/>
          <w:szCs w:val="22"/>
          <w:lang w:val="uk-UA"/>
        </w:rPr>
        <w:t xml:space="preserve">має змогу змінити/встановити (якщо ЕПЗ випущено без ПІН-коду) ПІН-код самостійно через </w:t>
      </w:r>
      <w:r w:rsidR="00B01F5A">
        <w:rPr>
          <w:rFonts w:ascii="Arial" w:hAnsi="Arial" w:cs="Arial"/>
          <w:sz w:val="22"/>
          <w:szCs w:val="22"/>
          <w:lang w:val="uk-UA"/>
        </w:rPr>
        <w:t xml:space="preserve">фізичні платіжні </w:t>
      </w:r>
      <w:r w:rsidR="009F3FC1" w:rsidRPr="00030FDD">
        <w:rPr>
          <w:rFonts w:ascii="Arial" w:hAnsi="Arial" w:cs="Arial"/>
          <w:sz w:val="22"/>
          <w:szCs w:val="22"/>
          <w:lang w:val="uk-UA"/>
        </w:rPr>
        <w:t>термінали,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у відділеннях Банку або в СДО.</w:t>
      </w:r>
    </w:p>
    <w:p w:rsidR="009F3FC1" w:rsidRPr="00030FDD" w:rsidRDefault="009F3FC1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Якщо </w:t>
      </w:r>
      <w:r w:rsidR="006904AC" w:rsidRPr="00030FDD">
        <w:rPr>
          <w:rFonts w:ascii="Arial" w:hAnsi="Arial" w:cs="Arial"/>
          <w:sz w:val="22"/>
          <w:szCs w:val="22"/>
          <w:lang w:val="uk-UA"/>
        </w:rPr>
        <w:t>держатель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забув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ПІН-код, необхідно </w:t>
      </w:r>
      <w:r w:rsidR="006904AC" w:rsidRPr="00030FDD">
        <w:rPr>
          <w:rFonts w:ascii="Arial" w:hAnsi="Arial" w:cs="Arial"/>
          <w:sz w:val="22"/>
          <w:szCs w:val="22"/>
          <w:lang w:val="uk-UA"/>
        </w:rPr>
        <w:t xml:space="preserve">встановити новий ПІН-код </w:t>
      </w:r>
      <w:r w:rsidR="00D2623B">
        <w:rPr>
          <w:rFonts w:ascii="Arial" w:hAnsi="Arial" w:cs="Arial"/>
          <w:sz w:val="22"/>
          <w:szCs w:val="22"/>
          <w:lang w:val="uk-UA"/>
        </w:rPr>
        <w:t xml:space="preserve">в СДО </w:t>
      </w:r>
      <w:r w:rsidR="006904AC" w:rsidRPr="00030FDD">
        <w:rPr>
          <w:rFonts w:ascii="Arial" w:hAnsi="Arial" w:cs="Arial"/>
          <w:sz w:val="22"/>
          <w:szCs w:val="22"/>
          <w:lang w:val="uk-UA"/>
        </w:rPr>
        <w:t xml:space="preserve">або </w:t>
      </w:r>
      <w:r w:rsidR="005B10C3" w:rsidRPr="00030FDD">
        <w:rPr>
          <w:rFonts w:ascii="Arial" w:hAnsi="Arial" w:cs="Arial"/>
          <w:sz w:val="22"/>
          <w:szCs w:val="22"/>
          <w:lang w:val="uk-UA"/>
        </w:rPr>
        <w:t xml:space="preserve">ініціювати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переви</w:t>
      </w:r>
      <w:r w:rsidR="006904AC" w:rsidRPr="00030FDD">
        <w:rPr>
          <w:rFonts w:ascii="Arial" w:hAnsi="Arial" w:cs="Arial"/>
          <w:sz w:val="22"/>
          <w:szCs w:val="22"/>
          <w:lang w:val="uk-UA"/>
        </w:rPr>
        <w:t>пус</w:t>
      </w:r>
      <w:r w:rsidR="005B10C3" w:rsidRPr="00030FDD">
        <w:rPr>
          <w:rFonts w:ascii="Arial" w:hAnsi="Arial" w:cs="Arial"/>
          <w:sz w:val="22"/>
          <w:szCs w:val="22"/>
          <w:lang w:val="uk-UA"/>
        </w:rPr>
        <w:t>к</w:t>
      </w:r>
      <w:proofErr w:type="spellEnd"/>
      <w:r w:rsidR="006904AC" w:rsidRPr="00030FDD">
        <w:rPr>
          <w:rFonts w:ascii="Arial" w:hAnsi="Arial" w:cs="Arial"/>
          <w:sz w:val="22"/>
          <w:szCs w:val="22"/>
          <w:lang w:val="uk-UA"/>
        </w:rPr>
        <w:t xml:space="preserve"> ЕПЗ </w:t>
      </w:r>
      <w:r w:rsidRPr="00030FDD">
        <w:rPr>
          <w:rFonts w:ascii="Arial" w:hAnsi="Arial" w:cs="Arial"/>
          <w:sz w:val="22"/>
          <w:szCs w:val="22"/>
          <w:lang w:val="uk-UA"/>
        </w:rPr>
        <w:t>з новим ПІН-кодом.</w:t>
      </w:r>
    </w:p>
    <w:p w:rsidR="009F3FC1" w:rsidRPr="00030FDD" w:rsidRDefault="006904AC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Якщо ЕПЗ обладнано чипом, п</w:t>
      </w:r>
      <w:r w:rsidR="009F3FC1" w:rsidRPr="00030FDD">
        <w:rPr>
          <w:rFonts w:ascii="Arial" w:hAnsi="Arial" w:cs="Arial"/>
          <w:sz w:val="22"/>
          <w:szCs w:val="22"/>
          <w:lang w:val="uk-UA"/>
        </w:rPr>
        <w:t>ри встановленні або зміні ПІН-коду через СДО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="009F3FC1" w:rsidRPr="00030FDD">
        <w:rPr>
          <w:rFonts w:ascii="Arial" w:hAnsi="Arial" w:cs="Arial"/>
          <w:sz w:val="22"/>
          <w:szCs w:val="22"/>
          <w:lang w:val="uk-UA"/>
        </w:rPr>
        <w:t xml:space="preserve">після встановлення нового ПІН-коду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держателю необхідно здійснити </w:t>
      </w:r>
      <w:r w:rsidR="009F3FC1" w:rsidRPr="00030FDD">
        <w:rPr>
          <w:rFonts w:ascii="Arial" w:hAnsi="Arial" w:cs="Arial"/>
          <w:sz w:val="22"/>
          <w:szCs w:val="22"/>
          <w:lang w:val="uk-UA"/>
        </w:rPr>
        <w:t xml:space="preserve">першу операцію </w:t>
      </w:r>
      <w:r w:rsidR="00B01F5A">
        <w:rPr>
          <w:rFonts w:ascii="Arial" w:hAnsi="Arial" w:cs="Arial"/>
          <w:sz w:val="22"/>
          <w:szCs w:val="22"/>
          <w:lang w:val="uk-UA"/>
        </w:rPr>
        <w:t xml:space="preserve">банкоматі або платіжному </w:t>
      </w:r>
      <w:r w:rsidR="009F3FC1" w:rsidRPr="00030FDD">
        <w:rPr>
          <w:rFonts w:ascii="Arial" w:hAnsi="Arial" w:cs="Arial"/>
          <w:sz w:val="22"/>
          <w:szCs w:val="22"/>
          <w:lang w:val="uk-UA"/>
        </w:rPr>
        <w:t>терміналі з чип-</w:t>
      </w:r>
      <w:proofErr w:type="spellStart"/>
      <w:r w:rsidR="009F3FC1" w:rsidRPr="00030FDD">
        <w:rPr>
          <w:rFonts w:ascii="Arial" w:hAnsi="Arial" w:cs="Arial"/>
          <w:sz w:val="22"/>
          <w:szCs w:val="22"/>
          <w:lang w:val="uk-UA"/>
        </w:rPr>
        <w:t>рідером</w:t>
      </w:r>
      <w:proofErr w:type="spellEnd"/>
      <w:r w:rsidR="009F3FC1"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B94389" w:rsidRPr="00030FDD" w:rsidRDefault="00B94389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В разі наявності на ЕПЗ панелі для підпису, </w:t>
      </w:r>
      <w:r w:rsidR="005B10C3" w:rsidRPr="00030FDD">
        <w:rPr>
          <w:rFonts w:ascii="Arial" w:hAnsi="Arial" w:cs="Arial"/>
          <w:sz w:val="22"/>
          <w:szCs w:val="22"/>
          <w:lang w:val="uk-UA"/>
        </w:rPr>
        <w:t xml:space="preserve">під час отримання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ЕПЗ держатель зобов’язаний </w:t>
      </w:r>
      <w:r w:rsidR="005B10C3" w:rsidRPr="00030FDD">
        <w:rPr>
          <w:rFonts w:ascii="Arial" w:hAnsi="Arial" w:cs="Arial"/>
          <w:sz w:val="22"/>
          <w:szCs w:val="22"/>
          <w:lang w:val="uk-UA"/>
        </w:rPr>
        <w:t xml:space="preserve">в присутності уповноваженого працівника Банку, який здійснює видачу ЕПЗ, </w:t>
      </w:r>
      <w:r w:rsidRPr="00030FDD">
        <w:rPr>
          <w:rFonts w:ascii="Arial" w:hAnsi="Arial" w:cs="Arial"/>
          <w:sz w:val="22"/>
          <w:szCs w:val="22"/>
          <w:lang w:val="uk-UA"/>
        </w:rPr>
        <w:t>проставити кульковою ручкою власний підпис на смузі для підпису.</w:t>
      </w:r>
    </w:p>
    <w:p w:rsidR="00DE455B" w:rsidRDefault="00DE455B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Якщо держатель не отримав ЕПЗ протягом 6 місяців з дати початку строку його дії, </w:t>
      </w:r>
      <w:r w:rsidR="005B10C3" w:rsidRPr="00030FDD">
        <w:rPr>
          <w:rFonts w:ascii="Arial" w:hAnsi="Arial" w:cs="Arial"/>
          <w:sz w:val="22"/>
          <w:szCs w:val="22"/>
          <w:lang w:val="uk-UA"/>
        </w:rPr>
        <w:t>Банк може знищити 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.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Перевипуск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ЕПЗ здійснюється на загальних умовах.</w:t>
      </w:r>
    </w:p>
    <w:p w:rsidR="00667148" w:rsidRPr="009D3CF9" w:rsidRDefault="006D62F5" w:rsidP="00667148">
      <w:pPr>
        <w:pStyle w:val="2"/>
        <w:numPr>
          <w:ilvl w:val="1"/>
          <w:numId w:val="3"/>
        </w:numPr>
        <w:tabs>
          <w:tab w:val="left" w:pos="567"/>
        </w:tabs>
        <w:spacing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9D3CF9">
        <w:rPr>
          <w:rFonts w:ascii="Arial" w:hAnsi="Arial" w:cs="Arial"/>
          <w:sz w:val="22"/>
          <w:szCs w:val="22"/>
          <w:lang w:val="uk-UA"/>
        </w:rPr>
        <w:t xml:space="preserve">ЕПЗ надається </w:t>
      </w:r>
      <w:r w:rsidR="00CC53BF" w:rsidRPr="009D3CF9">
        <w:rPr>
          <w:rFonts w:ascii="Arial" w:hAnsi="Arial" w:cs="Arial"/>
          <w:sz w:val="22"/>
          <w:szCs w:val="22"/>
          <w:lang w:val="uk-UA"/>
        </w:rPr>
        <w:t>держателю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у відділенні Банку </w:t>
      </w:r>
      <w:r w:rsidR="005364D2" w:rsidRPr="009D3CF9">
        <w:rPr>
          <w:rFonts w:ascii="Arial" w:hAnsi="Arial" w:cs="Arial"/>
          <w:sz w:val="22"/>
          <w:szCs w:val="22"/>
          <w:lang w:val="uk-UA"/>
        </w:rPr>
        <w:t xml:space="preserve">в запакованому до непрозорого паперового конверту вигляді. </w:t>
      </w:r>
      <w:r w:rsidR="00667148" w:rsidRPr="009D3CF9">
        <w:rPr>
          <w:rFonts w:ascii="Arial" w:hAnsi="Arial" w:cs="Arial"/>
          <w:sz w:val="22"/>
          <w:szCs w:val="22"/>
          <w:lang w:val="uk-UA"/>
        </w:rPr>
        <w:t xml:space="preserve">Пакування з </w:t>
      </w:r>
      <w:r w:rsidRPr="009D3CF9">
        <w:rPr>
          <w:rFonts w:ascii="Arial" w:hAnsi="Arial" w:cs="Arial"/>
          <w:sz w:val="22"/>
          <w:szCs w:val="22"/>
          <w:lang w:val="uk-UA"/>
        </w:rPr>
        <w:t>ЕПЗ</w:t>
      </w:r>
      <w:r w:rsidR="00667148" w:rsidRPr="009D3CF9">
        <w:rPr>
          <w:rFonts w:ascii="Arial" w:hAnsi="Arial" w:cs="Arial"/>
          <w:sz w:val="22"/>
          <w:szCs w:val="22"/>
          <w:lang w:val="uk-UA"/>
        </w:rPr>
        <w:t xml:space="preserve"> не має містити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ознак</w:t>
      </w:r>
      <w:r w:rsidR="00667148" w:rsidRPr="009D3CF9">
        <w:rPr>
          <w:rFonts w:ascii="Arial" w:hAnsi="Arial" w:cs="Arial"/>
          <w:sz w:val="22"/>
          <w:szCs w:val="22"/>
          <w:lang w:val="uk-UA"/>
        </w:rPr>
        <w:t xml:space="preserve"> пошкодження.</w:t>
      </w:r>
    </w:p>
    <w:p w:rsidR="00667148" w:rsidRPr="009D3CF9" w:rsidRDefault="00667148" w:rsidP="005364D2">
      <w:pPr>
        <w:pStyle w:val="2"/>
        <w:numPr>
          <w:ilvl w:val="1"/>
          <w:numId w:val="3"/>
        </w:numPr>
        <w:tabs>
          <w:tab w:val="left" w:pos="567"/>
        </w:tabs>
        <w:spacing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9D3CF9">
        <w:rPr>
          <w:rFonts w:ascii="Arial" w:hAnsi="Arial" w:cs="Arial"/>
          <w:sz w:val="22"/>
          <w:szCs w:val="22"/>
          <w:lang w:val="uk-UA"/>
        </w:rPr>
        <w:t xml:space="preserve">Якщо </w:t>
      </w:r>
      <w:r w:rsidR="00CC53BF" w:rsidRPr="009D3CF9">
        <w:rPr>
          <w:rFonts w:ascii="Arial" w:hAnsi="Arial" w:cs="Arial"/>
          <w:sz w:val="22"/>
          <w:szCs w:val="22"/>
          <w:lang w:val="uk-UA"/>
        </w:rPr>
        <w:t>держатель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отримує ЕПЗ </w:t>
      </w:r>
      <w:r w:rsidR="005364D2" w:rsidRPr="009D3CF9">
        <w:rPr>
          <w:rFonts w:ascii="Arial" w:hAnsi="Arial" w:cs="Arial"/>
          <w:sz w:val="22"/>
          <w:szCs w:val="22"/>
          <w:lang w:val="uk-UA"/>
        </w:rPr>
        <w:t xml:space="preserve">у 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конверті без ознак пошкодження, то всі подальші ризики компрометації </w:t>
      </w:r>
      <w:r w:rsidR="00285228" w:rsidRPr="009D3CF9">
        <w:rPr>
          <w:rFonts w:ascii="Arial" w:hAnsi="Arial" w:cs="Arial"/>
          <w:sz w:val="22"/>
          <w:szCs w:val="22"/>
          <w:lang w:val="uk-UA"/>
        </w:rPr>
        <w:t xml:space="preserve">цього 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ЕПЗ, які можуть стати причиною шахрайських дій, </w:t>
      </w:r>
      <w:r w:rsidR="00285228" w:rsidRPr="009D3CF9">
        <w:rPr>
          <w:rFonts w:ascii="Arial" w:hAnsi="Arial" w:cs="Arial"/>
          <w:sz w:val="22"/>
          <w:szCs w:val="22"/>
          <w:lang w:val="uk-UA"/>
        </w:rPr>
        <w:t>несе Клієнт</w:t>
      </w:r>
      <w:r w:rsidRPr="009D3CF9">
        <w:rPr>
          <w:rFonts w:ascii="Arial" w:hAnsi="Arial" w:cs="Arial"/>
          <w:sz w:val="22"/>
          <w:szCs w:val="22"/>
          <w:lang w:val="uk-UA"/>
        </w:rPr>
        <w:t>.</w:t>
      </w:r>
    </w:p>
    <w:p w:rsidR="00667148" w:rsidRPr="009D3CF9" w:rsidRDefault="00667148" w:rsidP="005364D2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9D3CF9">
        <w:rPr>
          <w:rFonts w:ascii="Arial" w:hAnsi="Arial" w:cs="Arial"/>
          <w:lang w:val="uk-UA"/>
        </w:rPr>
        <w:t xml:space="preserve">У </w:t>
      </w:r>
      <w:r w:rsidRPr="009D3CF9">
        <w:rPr>
          <w:rFonts w:ascii="Arial" w:hAnsi="Arial" w:cs="Arial"/>
          <w:sz w:val="22"/>
          <w:szCs w:val="22"/>
          <w:lang w:val="uk-UA"/>
        </w:rPr>
        <w:t>випадку отримання конверт</w:t>
      </w:r>
      <w:r w:rsidR="00285228" w:rsidRPr="009D3CF9">
        <w:rPr>
          <w:rFonts w:ascii="Arial" w:hAnsi="Arial" w:cs="Arial"/>
          <w:sz w:val="22"/>
          <w:szCs w:val="22"/>
          <w:lang w:val="uk-UA"/>
        </w:rPr>
        <w:t>а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з ЕПЗ, </w:t>
      </w:r>
      <w:r w:rsidR="00285228" w:rsidRPr="009D3CF9">
        <w:rPr>
          <w:rFonts w:ascii="Arial" w:hAnsi="Arial" w:cs="Arial"/>
          <w:sz w:val="22"/>
          <w:szCs w:val="22"/>
          <w:lang w:val="uk-UA"/>
        </w:rPr>
        <w:t>який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має ознаки пошкодження пакування</w:t>
      </w:r>
      <w:r w:rsidR="00285228" w:rsidRPr="009D3CF9">
        <w:rPr>
          <w:rFonts w:ascii="Arial" w:hAnsi="Arial" w:cs="Arial"/>
          <w:sz w:val="22"/>
          <w:szCs w:val="22"/>
          <w:lang w:val="uk-UA"/>
        </w:rPr>
        <w:t>,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</w:t>
      </w:r>
      <w:r w:rsidR="00CC53BF" w:rsidRPr="009D3CF9">
        <w:rPr>
          <w:rFonts w:ascii="Arial" w:hAnsi="Arial" w:cs="Arial"/>
          <w:sz w:val="22"/>
          <w:szCs w:val="22"/>
          <w:lang w:val="uk-UA"/>
        </w:rPr>
        <w:t>держатель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</w:t>
      </w:r>
      <w:r w:rsidR="00285228" w:rsidRPr="009D3CF9">
        <w:rPr>
          <w:rFonts w:ascii="Arial" w:hAnsi="Arial" w:cs="Arial"/>
          <w:sz w:val="22"/>
          <w:szCs w:val="22"/>
          <w:lang w:val="uk-UA"/>
        </w:rPr>
        <w:t>зобов’язаний</w:t>
      </w:r>
      <w:r w:rsidR="00CC53BF" w:rsidRPr="009D3CF9">
        <w:rPr>
          <w:rFonts w:ascii="Arial" w:hAnsi="Arial" w:cs="Arial"/>
          <w:sz w:val="22"/>
          <w:szCs w:val="22"/>
          <w:lang w:val="uk-UA"/>
        </w:rPr>
        <w:t>,</w:t>
      </w:r>
      <w:r w:rsidR="00285228" w:rsidRPr="009D3CF9">
        <w:rPr>
          <w:rFonts w:ascii="Arial" w:hAnsi="Arial" w:cs="Arial"/>
          <w:sz w:val="22"/>
          <w:szCs w:val="22"/>
          <w:lang w:val="uk-UA"/>
        </w:rPr>
        <w:t xml:space="preserve"> не залишаючи відділення Банку</w:t>
      </w:r>
      <w:r w:rsidR="00CC53BF" w:rsidRPr="009D3CF9">
        <w:rPr>
          <w:rFonts w:ascii="Arial" w:hAnsi="Arial" w:cs="Arial"/>
          <w:sz w:val="22"/>
          <w:szCs w:val="22"/>
          <w:lang w:val="uk-UA"/>
        </w:rPr>
        <w:t>,</w:t>
      </w:r>
      <w:r w:rsidR="00285228" w:rsidRPr="009D3CF9">
        <w:rPr>
          <w:rFonts w:ascii="Arial" w:hAnsi="Arial" w:cs="Arial"/>
          <w:sz w:val="22"/>
          <w:szCs w:val="22"/>
          <w:lang w:val="uk-UA"/>
        </w:rPr>
        <w:t xml:space="preserve"> </w:t>
      </w:r>
      <w:r w:rsidRPr="009D3CF9">
        <w:rPr>
          <w:rFonts w:ascii="Arial" w:hAnsi="Arial" w:cs="Arial"/>
          <w:sz w:val="22"/>
          <w:szCs w:val="22"/>
          <w:lang w:val="uk-UA"/>
        </w:rPr>
        <w:t>звернутис</w:t>
      </w:r>
      <w:r w:rsidR="00285228" w:rsidRPr="009D3CF9">
        <w:rPr>
          <w:rFonts w:ascii="Arial" w:hAnsi="Arial" w:cs="Arial"/>
          <w:sz w:val="22"/>
          <w:szCs w:val="22"/>
          <w:lang w:val="uk-UA"/>
        </w:rPr>
        <w:t>ь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за номером телефону 0 800 500 450 для блокування </w:t>
      </w:r>
      <w:r w:rsidR="00285228" w:rsidRPr="009D3CF9">
        <w:rPr>
          <w:rFonts w:ascii="Arial" w:hAnsi="Arial" w:cs="Arial"/>
          <w:sz w:val="22"/>
          <w:szCs w:val="22"/>
          <w:lang w:val="uk-UA"/>
        </w:rPr>
        <w:t>ЕПЗ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та ініціювати </w:t>
      </w:r>
      <w:r w:rsidR="00285228" w:rsidRPr="009D3CF9">
        <w:rPr>
          <w:rFonts w:ascii="Arial" w:hAnsi="Arial" w:cs="Arial"/>
          <w:sz w:val="22"/>
          <w:szCs w:val="22"/>
          <w:lang w:val="uk-UA"/>
        </w:rPr>
        <w:t>його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9D3CF9">
        <w:rPr>
          <w:rFonts w:ascii="Arial" w:hAnsi="Arial" w:cs="Arial"/>
          <w:sz w:val="22"/>
          <w:szCs w:val="22"/>
          <w:lang w:val="uk-UA"/>
        </w:rPr>
        <w:t>перевипуск</w:t>
      </w:r>
      <w:proofErr w:type="spellEnd"/>
      <w:r w:rsidRPr="009D3CF9">
        <w:rPr>
          <w:rFonts w:ascii="Arial" w:hAnsi="Arial" w:cs="Arial"/>
          <w:sz w:val="22"/>
          <w:szCs w:val="22"/>
          <w:lang w:val="uk-UA"/>
        </w:rPr>
        <w:t xml:space="preserve">. </w:t>
      </w:r>
    </w:p>
    <w:p w:rsidR="00285228" w:rsidRPr="009D3CF9" w:rsidRDefault="00285228" w:rsidP="00285228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9D3CF9">
        <w:rPr>
          <w:rFonts w:ascii="Arial" w:hAnsi="Arial" w:cs="Arial"/>
          <w:sz w:val="22"/>
          <w:szCs w:val="22"/>
          <w:lang w:val="uk-UA"/>
        </w:rPr>
        <w:t>Банк повідомляє Клієнтів про початок/припинення надання ЕПЗ у відділеннях Банку</w:t>
      </w:r>
      <w:r w:rsidR="005364D2" w:rsidRPr="009D3CF9">
        <w:rPr>
          <w:rFonts w:ascii="Arial" w:hAnsi="Arial" w:cs="Arial"/>
          <w:sz w:val="22"/>
          <w:szCs w:val="22"/>
          <w:lang w:val="uk-UA"/>
        </w:rPr>
        <w:t>,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упакованими </w:t>
      </w:r>
      <w:r w:rsidR="005364D2" w:rsidRPr="009D3CF9">
        <w:rPr>
          <w:rFonts w:ascii="Arial" w:hAnsi="Arial" w:cs="Arial"/>
          <w:sz w:val="22"/>
          <w:szCs w:val="22"/>
          <w:lang w:val="uk-UA"/>
        </w:rPr>
        <w:t xml:space="preserve">до </w:t>
      </w:r>
      <w:r w:rsidRPr="009D3CF9">
        <w:rPr>
          <w:rFonts w:ascii="Arial" w:hAnsi="Arial" w:cs="Arial"/>
          <w:sz w:val="22"/>
          <w:szCs w:val="22"/>
          <w:lang w:val="uk-UA"/>
        </w:rPr>
        <w:t>конверт</w:t>
      </w:r>
      <w:r w:rsidR="005364D2" w:rsidRPr="009D3CF9">
        <w:rPr>
          <w:rFonts w:ascii="Arial" w:hAnsi="Arial" w:cs="Arial"/>
          <w:sz w:val="22"/>
          <w:szCs w:val="22"/>
          <w:lang w:val="uk-UA"/>
        </w:rPr>
        <w:t>ів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шляхом розміщення відповідного повідомлення на сайті Банку.</w:t>
      </w:r>
    </w:p>
    <w:p w:rsidR="00667148" w:rsidRPr="009D3CF9" w:rsidRDefault="00285228" w:rsidP="00285228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9D3CF9">
        <w:rPr>
          <w:rFonts w:ascii="Arial" w:hAnsi="Arial" w:cs="Arial"/>
          <w:sz w:val="22"/>
          <w:szCs w:val="22"/>
          <w:lang w:val="uk-UA"/>
        </w:rPr>
        <w:t xml:space="preserve">ЕПЗ, емітовані до розміщення Банком повідомлення про початок пакування та після повідомлення про припинення пакування, надаються </w:t>
      </w:r>
      <w:r w:rsidR="00CC53BF" w:rsidRPr="009D3CF9">
        <w:rPr>
          <w:rFonts w:ascii="Arial" w:hAnsi="Arial" w:cs="Arial"/>
          <w:sz w:val="22"/>
          <w:szCs w:val="22"/>
          <w:lang w:val="uk-UA"/>
        </w:rPr>
        <w:t xml:space="preserve">держателям </w:t>
      </w:r>
      <w:r w:rsidRPr="009D3CF9">
        <w:rPr>
          <w:rFonts w:ascii="Arial" w:hAnsi="Arial" w:cs="Arial"/>
          <w:sz w:val="22"/>
          <w:szCs w:val="22"/>
          <w:lang w:val="uk-UA"/>
        </w:rPr>
        <w:t xml:space="preserve"> у відділеннях Банку без пакування.</w:t>
      </w:r>
    </w:p>
    <w:p w:rsidR="00DF629B" w:rsidRPr="00030FDD" w:rsidRDefault="00DF629B" w:rsidP="00FF0788">
      <w:pPr>
        <w:tabs>
          <w:tab w:val="left" w:pos="0"/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</w:p>
    <w:p w:rsidR="0067680F" w:rsidRPr="00030FDD" w:rsidRDefault="00AB2F15" w:rsidP="00FC6FF7">
      <w:pPr>
        <w:pStyle w:val="aa"/>
        <w:numPr>
          <w:ilvl w:val="0"/>
          <w:numId w:val="3"/>
        </w:numPr>
        <w:tabs>
          <w:tab w:val="left" w:pos="567"/>
        </w:tabs>
        <w:spacing w:after="0"/>
        <w:ind w:left="0" w:right="-1" w:firstLine="0"/>
        <w:rPr>
          <w:rFonts w:ascii="Arial" w:eastAsia="MS Mincho" w:hAnsi="Arial" w:cs="Arial"/>
          <w:b/>
          <w:sz w:val="22"/>
          <w:szCs w:val="22"/>
          <w:lang w:val="uk-UA"/>
        </w:rPr>
      </w:pP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>ВИМОГИ БЕЗПЕКИ</w:t>
      </w:r>
    </w:p>
    <w:p w:rsidR="00815ED4" w:rsidRPr="00030FDD" w:rsidRDefault="00815ED4" w:rsidP="00815ED4">
      <w:pPr>
        <w:spacing w:after="0" w:line="240" w:lineRule="auto"/>
      </w:pP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За будь-яких умов </w:t>
      </w:r>
      <w:r w:rsidR="00B94389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ержатель зобов’язаний </w:t>
      </w:r>
      <w:r w:rsidR="00B94389" w:rsidRPr="00030FDD">
        <w:rPr>
          <w:rFonts w:ascii="Arial" w:hAnsi="Arial" w:cs="Arial"/>
          <w:sz w:val="22"/>
          <w:szCs w:val="22"/>
          <w:lang w:val="uk-UA"/>
        </w:rPr>
        <w:t>здійснити у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се можливе, щоб забезпечити збереження </w:t>
      </w:r>
      <w:r w:rsidR="00B94389" w:rsidRPr="00030FDD">
        <w:rPr>
          <w:rFonts w:ascii="Arial" w:hAnsi="Arial" w:cs="Arial"/>
          <w:sz w:val="22"/>
          <w:szCs w:val="22"/>
          <w:lang w:val="uk-UA"/>
        </w:rPr>
        <w:t>ЕПЗ, реквізитів 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та </w:t>
      </w:r>
      <w:r w:rsidR="00B94389" w:rsidRPr="00030FDD">
        <w:rPr>
          <w:rFonts w:ascii="Arial" w:hAnsi="Arial" w:cs="Arial"/>
          <w:sz w:val="22"/>
          <w:szCs w:val="22"/>
          <w:lang w:val="uk-UA"/>
        </w:rPr>
        <w:t xml:space="preserve">таємниці ПІН-коду, </w:t>
      </w:r>
      <w:r w:rsidR="0080507A" w:rsidRPr="00030FDD">
        <w:rPr>
          <w:rFonts w:ascii="Arial" w:hAnsi="Arial" w:cs="Arial"/>
          <w:sz w:val="22"/>
          <w:szCs w:val="22"/>
          <w:lang w:val="uk-UA"/>
        </w:rPr>
        <w:t xml:space="preserve">коду </w:t>
      </w:r>
      <w:r w:rsidR="00B94389" w:rsidRPr="00030FDD">
        <w:rPr>
          <w:rFonts w:ascii="Arial" w:hAnsi="Arial" w:cs="Arial"/>
          <w:sz w:val="22"/>
          <w:szCs w:val="22"/>
          <w:lang w:val="uk-UA"/>
        </w:rPr>
        <w:t xml:space="preserve">CVV2/CVC2, інформації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про </w:t>
      </w:r>
      <w:r w:rsidR="00B94389" w:rsidRPr="00030FDD">
        <w:rPr>
          <w:rFonts w:ascii="Arial" w:hAnsi="Arial" w:cs="Arial"/>
          <w:sz w:val="22"/>
          <w:szCs w:val="22"/>
          <w:lang w:val="uk-UA"/>
        </w:rPr>
        <w:t>с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лово-пароль, </w:t>
      </w:r>
      <w:r w:rsidR="00B94389" w:rsidRPr="00030FDD">
        <w:rPr>
          <w:rFonts w:ascii="Arial" w:hAnsi="Arial" w:cs="Arial"/>
          <w:sz w:val="22"/>
          <w:szCs w:val="22"/>
          <w:lang w:val="uk-UA"/>
        </w:rPr>
        <w:t>іншої індивідуальної облікової інформації. Держатель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не повинен записувати ПІН-код на </w:t>
      </w:r>
      <w:r w:rsidR="00B94389" w:rsidRPr="00030FDD">
        <w:rPr>
          <w:rFonts w:ascii="Arial" w:hAnsi="Arial" w:cs="Arial"/>
          <w:sz w:val="22"/>
          <w:szCs w:val="22"/>
          <w:lang w:val="uk-UA"/>
        </w:rPr>
        <w:t xml:space="preserve">ЕПЗ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або на інших </w:t>
      </w:r>
      <w:r w:rsidR="00B94389" w:rsidRPr="00030FDD">
        <w:rPr>
          <w:rFonts w:ascii="Arial" w:hAnsi="Arial" w:cs="Arial"/>
          <w:sz w:val="22"/>
          <w:szCs w:val="22"/>
          <w:lang w:val="uk-UA"/>
        </w:rPr>
        <w:t>носіях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, які зберігаються </w:t>
      </w:r>
      <w:r w:rsidR="00B94389" w:rsidRPr="00030FDD">
        <w:rPr>
          <w:rFonts w:ascii="Arial" w:hAnsi="Arial" w:cs="Arial"/>
          <w:sz w:val="22"/>
          <w:szCs w:val="22"/>
          <w:lang w:val="uk-UA"/>
        </w:rPr>
        <w:t xml:space="preserve">поруч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з </w:t>
      </w:r>
      <w:r w:rsidR="00B94389" w:rsidRPr="00030FDD">
        <w:rPr>
          <w:rFonts w:ascii="Arial" w:hAnsi="Arial" w:cs="Arial"/>
          <w:sz w:val="22"/>
          <w:szCs w:val="22"/>
          <w:lang w:val="uk-UA"/>
        </w:rPr>
        <w:t>ЕПЗ або дають можливість асоціювати певний ПІН-код з певним ЕПЗ</w:t>
      </w:r>
      <w:r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67680F" w:rsidRPr="00030FDD" w:rsidRDefault="00B94389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ПІН-код відомий лише держателю. Під час введення </w:t>
      </w:r>
      <w:r w:rsidR="0067680F" w:rsidRPr="00030FDD">
        <w:rPr>
          <w:rFonts w:ascii="Arial" w:hAnsi="Arial" w:cs="Arial"/>
          <w:sz w:val="22"/>
          <w:szCs w:val="22"/>
          <w:lang w:val="uk-UA"/>
        </w:rPr>
        <w:t>ПІН-код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у держатель повинен </w:t>
      </w:r>
      <w:r w:rsidR="00315BCD" w:rsidRPr="00315BCD">
        <w:rPr>
          <w:rFonts w:ascii="Arial" w:hAnsi="Arial" w:cs="Arial"/>
          <w:sz w:val="22"/>
          <w:szCs w:val="22"/>
          <w:lang w:val="uk-UA"/>
        </w:rPr>
        <w:t>забезпеч</w:t>
      </w:r>
      <w:r w:rsidR="00315BCD">
        <w:rPr>
          <w:rFonts w:ascii="Arial" w:hAnsi="Arial" w:cs="Arial"/>
          <w:sz w:val="22"/>
          <w:szCs w:val="22"/>
          <w:lang w:val="uk-UA"/>
        </w:rPr>
        <w:t>и</w:t>
      </w:r>
      <w:r w:rsidR="00315BCD" w:rsidRPr="00315BCD">
        <w:rPr>
          <w:rFonts w:ascii="Arial" w:hAnsi="Arial" w:cs="Arial"/>
          <w:sz w:val="22"/>
          <w:szCs w:val="22"/>
          <w:lang w:val="uk-UA"/>
        </w:rPr>
        <w:t>ти приховане введення ПІН-коду</w:t>
      </w:r>
      <w:r w:rsidR="00315BCD">
        <w:rPr>
          <w:rFonts w:ascii="Arial" w:hAnsi="Arial" w:cs="Arial"/>
          <w:sz w:val="22"/>
          <w:szCs w:val="22"/>
          <w:lang w:val="uk-UA"/>
        </w:rPr>
        <w:t>,</w:t>
      </w:r>
      <w:r w:rsidR="00315BCD"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уникати </w:t>
      </w:r>
      <w:r w:rsidR="00315BCD">
        <w:rPr>
          <w:rFonts w:ascii="Arial" w:hAnsi="Arial" w:cs="Arial"/>
          <w:sz w:val="22"/>
          <w:szCs w:val="22"/>
          <w:lang w:val="uk-UA"/>
        </w:rPr>
        <w:t xml:space="preserve">його розкриття </w:t>
      </w:r>
      <w:r w:rsidR="00315BCD" w:rsidRPr="00315BCD">
        <w:rPr>
          <w:rFonts w:ascii="Arial" w:hAnsi="Arial" w:cs="Arial"/>
          <w:sz w:val="22"/>
          <w:szCs w:val="22"/>
          <w:lang w:val="uk-UA"/>
        </w:rPr>
        <w:t>стороннім особам</w:t>
      </w:r>
      <w:r w:rsidR="00315BCD">
        <w:rPr>
          <w:rFonts w:ascii="Arial" w:hAnsi="Arial" w:cs="Arial"/>
          <w:sz w:val="22"/>
          <w:szCs w:val="22"/>
          <w:lang w:val="uk-UA"/>
        </w:rPr>
        <w:t xml:space="preserve">, </w:t>
      </w:r>
      <w:r w:rsidR="00315BCD"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="00315BCD" w:rsidRPr="00315BCD">
        <w:rPr>
          <w:rFonts w:ascii="Arial" w:hAnsi="Arial" w:cs="Arial"/>
          <w:sz w:val="22"/>
          <w:szCs w:val="22"/>
          <w:lang w:val="uk-UA"/>
        </w:rPr>
        <w:t>наприклад</w:t>
      </w:r>
      <w:r w:rsidR="00315BCD" w:rsidRPr="00B703D4">
        <w:rPr>
          <w:rFonts w:ascii="Arial" w:hAnsi="Arial" w:cs="Arial"/>
          <w:sz w:val="22"/>
          <w:szCs w:val="22"/>
        </w:rPr>
        <w:t>,</w:t>
      </w:r>
      <w:r w:rsidR="00315BCD" w:rsidRPr="00315BCD">
        <w:rPr>
          <w:rFonts w:ascii="Arial" w:hAnsi="Arial" w:cs="Arial"/>
          <w:sz w:val="22"/>
          <w:szCs w:val="22"/>
          <w:lang w:val="uk-UA"/>
        </w:rPr>
        <w:t xml:space="preserve"> прикрива</w:t>
      </w:r>
      <w:r w:rsidR="00315BCD">
        <w:rPr>
          <w:rFonts w:ascii="Arial" w:hAnsi="Arial" w:cs="Arial"/>
          <w:sz w:val="22"/>
          <w:szCs w:val="22"/>
          <w:lang w:val="uk-UA"/>
        </w:rPr>
        <w:t>ти</w:t>
      </w:r>
      <w:r w:rsidR="00315BCD" w:rsidRPr="00315BCD">
        <w:rPr>
          <w:rFonts w:ascii="Arial" w:hAnsi="Arial" w:cs="Arial"/>
          <w:sz w:val="22"/>
          <w:szCs w:val="22"/>
          <w:lang w:val="uk-UA"/>
        </w:rPr>
        <w:t xml:space="preserve"> клавіатуру рукою</w:t>
      </w:r>
      <w:r w:rsidR="0067680F"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Держатель повинен зберігати </w:t>
      </w:r>
      <w:r w:rsidR="00B94389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у недоступному для інших осіб місці, окремо від джерел електромагнітного випромінювання (мобільних телефонів, телевізорів, моніторів тощо) та магнітів, не прикладати до </w:t>
      </w:r>
      <w:r w:rsidR="0080507A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фізичних зусиль (не гнути тощо).</w:t>
      </w:r>
    </w:p>
    <w:p w:rsidR="00B94389" w:rsidRPr="00030FDD" w:rsidRDefault="00B94389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Держатель повинен повідомляти Банк про будь-які підозри та сумніви, що стосуються ЕПЗ.</w:t>
      </w:r>
    </w:p>
    <w:p w:rsidR="005E1E9D" w:rsidRPr="00030FDD" w:rsidRDefault="005E1E9D" w:rsidP="005E1E9D">
      <w:pPr>
        <w:spacing w:after="0" w:line="240" w:lineRule="auto"/>
      </w:pPr>
    </w:p>
    <w:p w:rsidR="005E1E9D" w:rsidRPr="00030FDD" w:rsidRDefault="00EB79F7" w:rsidP="00FC6FF7">
      <w:pPr>
        <w:pStyle w:val="aa"/>
        <w:numPr>
          <w:ilvl w:val="0"/>
          <w:numId w:val="3"/>
        </w:numPr>
        <w:tabs>
          <w:tab w:val="left" w:pos="567"/>
        </w:tabs>
        <w:spacing w:after="0"/>
        <w:ind w:left="0" w:right="-1" w:firstLine="0"/>
        <w:rPr>
          <w:rFonts w:ascii="Arial" w:eastAsia="MS Mincho" w:hAnsi="Arial" w:cs="Arial"/>
          <w:b/>
          <w:sz w:val="22"/>
          <w:szCs w:val="22"/>
          <w:lang w:val="uk-UA"/>
        </w:rPr>
      </w:pP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 xml:space="preserve">ЗАГАЛЬНІ УМОВИ </w:t>
      </w:r>
      <w:r w:rsidR="00007A44" w:rsidRPr="00030FDD">
        <w:rPr>
          <w:rFonts w:ascii="Arial" w:eastAsia="MS Mincho" w:hAnsi="Arial" w:cs="Arial"/>
          <w:b/>
          <w:sz w:val="22"/>
          <w:szCs w:val="22"/>
          <w:lang w:val="uk-UA"/>
        </w:rPr>
        <w:t>ЗДІЙСНЕННЯ</w:t>
      </w:r>
      <w:r w:rsidR="005E1E9D" w:rsidRPr="00030FDD">
        <w:rPr>
          <w:rFonts w:ascii="Arial" w:eastAsia="MS Mincho" w:hAnsi="Arial" w:cs="Arial"/>
          <w:b/>
          <w:sz w:val="22"/>
          <w:szCs w:val="22"/>
          <w:lang w:val="uk-UA"/>
        </w:rPr>
        <w:t xml:space="preserve"> ОПЕРАЦІЙ</w:t>
      </w:r>
    </w:p>
    <w:p w:rsidR="005E1E9D" w:rsidRPr="00030FDD" w:rsidRDefault="005E1E9D" w:rsidP="005E1E9D">
      <w:pPr>
        <w:spacing w:after="0" w:line="240" w:lineRule="auto"/>
      </w:pP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Операції, що здійснюються з використанням </w:t>
      </w:r>
      <w:r w:rsidR="00B94389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, можуть підтверджуватись </w:t>
      </w:r>
      <w:r w:rsidR="005E1E9D" w:rsidRPr="00030FDD">
        <w:rPr>
          <w:rFonts w:ascii="Arial" w:hAnsi="Arial" w:cs="Arial"/>
          <w:sz w:val="22"/>
          <w:szCs w:val="22"/>
          <w:lang w:val="uk-UA"/>
        </w:rPr>
        <w:t xml:space="preserve">шляхом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введення </w:t>
      </w:r>
      <w:r w:rsidR="005E1E9D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>ержателем ПІН-код</w:t>
      </w:r>
      <w:r w:rsidR="005E1E9D" w:rsidRPr="00030FDD">
        <w:rPr>
          <w:rFonts w:ascii="Arial" w:hAnsi="Arial" w:cs="Arial"/>
          <w:sz w:val="22"/>
          <w:szCs w:val="22"/>
          <w:lang w:val="uk-UA"/>
        </w:rPr>
        <w:t>у в момент здійснення операції.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Операції, що здійснюються в мережі Інтернет, повинні підтверджуватись </w:t>
      </w:r>
      <w:r w:rsidR="005E1E9D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ержателем шляхом введення </w:t>
      </w:r>
      <w:r w:rsidR="005E1E9D" w:rsidRPr="00030FDD">
        <w:rPr>
          <w:rFonts w:ascii="Arial" w:hAnsi="Arial" w:cs="Arial"/>
          <w:sz w:val="22"/>
          <w:szCs w:val="22"/>
          <w:lang w:val="uk-UA"/>
        </w:rPr>
        <w:t xml:space="preserve">CVC2-коду (для ЕПЗ у межах платіжної системи </w:t>
      </w:r>
      <w:proofErr w:type="spellStart"/>
      <w:r w:rsidR="005E1E9D" w:rsidRPr="00030FDD">
        <w:rPr>
          <w:rFonts w:ascii="Arial" w:hAnsi="Arial" w:cs="Arial"/>
          <w:sz w:val="22"/>
          <w:szCs w:val="22"/>
          <w:lang w:val="uk-UA"/>
        </w:rPr>
        <w:t>Mastercard</w:t>
      </w:r>
      <w:proofErr w:type="spellEnd"/>
      <w:r w:rsidR="005E1E9D" w:rsidRPr="00030FDD">
        <w:rPr>
          <w:rFonts w:ascii="Arial" w:hAnsi="Arial" w:cs="Arial"/>
          <w:sz w:val="22"/>
          <w:szCs w:val="22"/>
          <w:lang w:val="uk-UA"/>
        </w:rPr>
        <w:t xml:space="preserve">) або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CVV2-коду (для </w:t>
      </w:r>
      <w:r w:rsidR="005E1E9D" w:rsidRPr="00030FDD">
        <w:rPr>
          <w:rFonts w:ascii="Arial" w:hAnsi="Arial" w:cs="Arial"/>
          <w:sz w:val="22"/>
          <w:szCs w:val="22"/>
          <w:lang w:val="uk-UA"/>
        </w:rPr>
        <w:t>ЕПЗ у межах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="005E1E9D" w:rsidRPr="00030FDD">
        <w:rPr>
          <w:rFonts w:ascii="Arial" w:hAnsi="Arial" w:cs="Arial"/>
          <w:sz w:val="22"/>
          <w:szCs w:val="22"/>
          <w:lang w:val="uk-UA"/>
        </w:rPr>
        <w:t>п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латіжної системи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Visa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>)</w:t>
      </w:r>
      <w:r w:rsidR="005E1E9D" w:rsidRPr="00030FDD">
        <w:rPr>
          <w:rFonts w:ascii="Arial" w:hAnsi="Arial" w:cs="Arial"/>
          <w:sz w:val="22"/>
          <w:szCs w:val="22"/>
          <w:lang w:val="uk-UA"/>
        </w:rPr>
        <w:t>. Я</w:t>
      </w:r>
      <w:r w:rsidRPr="00030FDD">
        <w:rPr>
          <w:rFonts w:ascii="Arial" w:hAnsi="Arial" w:cs="Arial"/>
          <w:sz w:val="22"/>
          <w:szCs w:val="22"/>
          <w:lang w:val="uk-UA"/>
        </w:rPr>
        <w:t>кщо налаштування системи торговця не</w:t>
      </w:r>
      <w:r w:rsidR="005E1E9D" w:rsidRPr="00030FDD">
        <w:rPr>
          <w:rFonts w:ascii="Arial" w:hAnsi="Arial" w:cs="Arial"/>
          <w:sz w:val="22"/>
          <w:szCs w:val="22"/>
          <w:lang w:val="uk-UA"/>
        </w:rPr>
        <w:t xml:space="preserve"> передбачає перевірку коду CVC2/CVV2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, </w:t>
      </w:r>
      <w:r w:rsidR="005E1E9D" w:rsidRPr="00030FDD">
        <w:rPr>
          <w:rFonts w:ascii="Arial" w:hAnsi="Arial" w:cs="Arial"/>
          <w:sz w:val="22"/>
          <w:szCs w:val="22"/>
          <w:lang w:val="uk-UA"/>
        </w:rPr>
        <w:t xml:space="preserve">Клієнт несе ризик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використання </w:t>
      </w:r>
      <w:r w:rsidR="005E1E9D" w:rsidRPr="00030FDD">
        <w:rPr>
          <w:rFonts w:ascii="Arial" w:hAnsi="Arial" w:cs="Arial"/>
          <w:sz w:val="22"/>
          <w:szCs w:val="22"/>
          <w:lang w:val="uk-UA"/>
        </w:rPr>
        <w:t>ЕПЗ на такому Інтернет-ресурсі.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Клієнт несе </w:t>
      </w:r>
      <w:r w:rsidR="005E1E9D" w:rsidRPr="00030FDD">
        <w:rPr>
          <w:rFonts w:ascii="Arial" w:hAnsi="Arial" w:cs="Arial"/>
          <w:sz w:val="22"/>
          <w:szCs w:val="22"/>
          <w:lang w:val="uk-UA"/>
        </w:rPr>
        <w:t>ризик використання ЕПЗ у разі скасування держателем перевірк</w:t>
      </w:r>
      <w:r w:rsidR="000212D6">
        <w:rPr>
          <w:rFonts w:ascii="Arial" w:hAnsi="Arial" w:cs="Arial"/>
          <w:sz w:val="22"/>
          <w:szCs w:val="22"/>
          <w:lang w:val="uk-UA"/>
        </w:rPr>
        <w:t>и</w:t>
      </w:r>
      <w:r w:rsidR="005E1E9D" w:rsidRPr="00030FDD">
        <w:rPr>
          <w:rFonts w:ascii="Arial" w:hAnsi="Arial" w:cs="Arial"/>
          <w:sz w:val="22"/>
          <w:szCs w:val="22"/>
          <w:lang w:val="uk-UA"/>
        </w:rPr>
        <w:t xml:space="preserve"> коду CVC2/CVV2 за ЕПЗ</w:t>
      </w:r>
      <w:r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DD3762" w:rsidRDefault="00DD3762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Операції, що здійснюються за допомогою ЕПЗ у СДО, а у випадку, якщо ЕПЗ підключений до сервісу 3D-Secure, - також операції, що здійснюються в мережі Інтернет, додатково підтверджуються одноразовим паролем, що надсилається Банком</w:t>
      </w:r>
      <w:r w:rsidR="00033701">
        <w:rPr>
          <w:rFonts w:ascii="Arial" w:hAnsi="Arial" w:cs="Arial"/>
          <w:sz w:val="22"/>
          <w:szCs w:val="22"/>
          <w:lang w:val="uk-UA"/>
        </w:rPr>
        <w:t>, або засобами СДО, технологічно реалізованими для цих цілей</w:t>
      </w:r>
      <w:r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033701" w:rsidRPr="00030FDD" w:rsidRDefault="00033701" w:rsidP="00033701">
      <w:pPr>
        <w:pStyle w:val="2"/>
        <w:numPr>
          <w:ilvl w:val="0"/>
          <w:numId w:val="0"/>
        </w:numPr>
        <w:tabs>
          <w:tab w:val="left" w:pos="567"/>
        </w:tabs>
        <w:spacing w:before="0" w:after="0"/>
        <w:ind w:left="567"/>
        <w:rPr>
          <w:rFonts w:ascii="Arial" w:hAnsi="Arial" w:cs="Arial"/>
          <w:sz w:val="22"/>
          <w:szCs w:val="22"/>
          <w:lang w:val="uk-UA"/>
        </w:rPr>
      </w:pPr>
      <w:r w:rsidRPr="00033701">
        <w:rPr>
          <w:rFonts w:ascii="Arial" w:hAnsi="Arial" w:cs="Arial"/>
          <w:sz w:val="22"/>
          <w:szCs w:val="22"/>
          <w:lang w:val="uk-UA"/>
        </w:rPr>
        <w:t>В деяких випадках (повторні операції, за якими раніше застосовувались вищенаведені методи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Pr="00033701">
        <w:rPr>
          <w:rFonts w:ascii="Arial" w:hAnsi="Arial" w:cs="Arial"/>
          <w:sz w:val="22"/>
          <w:szCs w:val="22"/>
          <w:lang w:val="uk-UA"/>
        </w:rPr>
        <w:t xml:space="preserve">підтвердження, тощо) операції </w:t>
      </w:r>
      <w:r w:rsidR="00390435">
        <w:rPr>
          <w:rFonts w:ascii="Arial" w:hAnsi="Arial" w:cs="Arial"/>
          <w:sz w:val="22"/>
          <w:szCs w:val="22"/>
          <w:lang w:val="uk-UA"/>
        </w:rPr>
        <w:t>можуть не потребувати</w:t>
      </w:r>
      <w:r w:rsidRPr="00033701">
        <w:rPr>
          <w:rFonts w:ascii="Arial" w:hAnsi="Arial" w:cs="Arial"/>
          <w:sz w:val="22"/>
          <w:szCs w:val="22"/>
          <w:lang w:val="uk-UA"/>
        </w:rPr>
        <w:t xml:space="preserve"> підтвердження зазначеними вище методами, і в такому разі їх завершення здійснюється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Pr="00033701">
        <w:rPr>
          <w:rFonts w:ascii="Arial" w:hAnsi="Arial" w:cs="Arial"/>
          <w:sz w:val="22"/>
          <w:szCs w:val="22"/>
          <w:lang w:val="uk-UA"/>
        </w:rPr>
        <w:t xml:space="preserve">Банком після натискання </w:t>
      </w:r>
      <w:r w:rsidR="00390435">
        <w:rPr>
          <w:rFonts w:ascii="Arial" w:hAnsi="Arial" w:cs="Arial"/>
          <w:sz w:val="22"/>
          <w:szCs w:val="22"/>
          <w:lang w:val="uk-UA"/>
        </w:rPr>
        <w:t>К</w:t>
      </w:r>
      <w:r w:rsidRPr="00033701">
        <w:rPr>
          <w:rFonts w:ascii="Arial" w:hAnsi="Arial" w:cs="Arial"/>
          <w:sz w:val="22"/>
          <w:szCs w:val="22"/>
          <w:lang w:val="uk-UA"/>
        </w:rPr>
        <w:t>лієнтом «Сплатити»/ «Підтверджую»/ «Далі» тощо.</w:t>
      </w:r>
    </w:p>
    <w:p w:rsidR="006B4E46" w:rsidRPr="00030FDD" w:rsidRDefault="006B4E46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Використання ЕПЗ у спосіб, що передбачає передачу його реквізитів незахищеними каналами зв’язку або відсутність контролю за збереженням даних про ЕПЗ, є ризикованим та нерекомендованим. </w:t>
      </w:r>
    </w:p>
    <w:p w:rsidR="0080507A" w:rsidRPr="00030FDD" w:rsidRDefault="0080507A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Якщо операція з використанням ЕПЗ здійснюється за участі третіх осіб (у торговельній точці, у пункті видачі готівки, у відділенні банку тощо) таке використання повинно здійснюватися в присутності держателя.</w:t>
      </w:r>
    </w:p>
    <w:p w:rsidR="00007A44" w:rsidRPr="00030FDD" w:rsidRDefault="00007A44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Перед підписанням </w:t>
      </w:r>
      <w:r w:rsidR="00EB79F7" w:rsidRPr="00030FDD">
        <w:rPr>
          <w:rFonts w:ascii="Arial" w:hAnsi="Arial" w:cs="Arial"/>
          <w:sz w:val="22"/>
          <w:szCs w:val="22"/>
          <w:lang w:val="uk-UA"/>
        </w:rPr>
        <w:t>документа за операцією з використанням ЕПЗ (квитанції, сліпи, чеки)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держатель повинен перевіряти інформацію, що надрукована у ньому.</w:t>
      </w:r>
    </w:p>
    <w:p w:rsidR="00007A44" w:rsidRPr="00030FDD" w:rsidRDefault="00007A44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Держатель повинен зберігати документи за операціями з використанням ЕПЗ </w:t>
      </w:r>
      <w:r w:rsidR="00EB79F7" w:rsidRPr="00030FDD">
        <w:rPr>
          <w:rFonts w:ascii="Arial" w:hAnsi="Arial" w:cs="Arial"/>
          <w:sz w:val="22"/>
          <w:szCs w:val="22"/>
          <w:lang w:val="uk-UA"/>
        </w:rPr>
        <w:t xml:space="preserve">принаймні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до моменту відображення </w:t>
      </w:r>
      <w:r w:rsidR="00EB79F7" w:rsidRPr="00030FDD">
        <w:rPr>
          <w:rFonts w:ascii="Arial" w:hAnsi="Arial" w:cs="Arial"/>
          <w:sz w:val="22"/>
          <w:szCs w:val="22"/>
          <w:lang w:val="uk-UA"/>
        </w:rPr>
        <w:t>цих операцій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у виписці за рахунком.</w:t>
      </w:r>
    </w:p>
    <w:p w:rsidR="00E9193A" w:rsidRDefault="00E9193A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Оnline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-комісії можуть блокуватися при проведенні таких операцій: зняття готівки у відділенні банку, зняття готівки у банкоматі, розрахунки в торговельних точках, в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т.ч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. розрахунки у мережі Інтернет та розрахунки, що пов’язані з телефонними та поштовими замовленнями (МОТО –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mail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or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telephone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order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transactions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), перегляд залишку коштів через банкомат, </w:t>
      </w:r>
      <w:r w:rsidR="00B01F5A">
        <w:rPr>
          <w:rFonts w:ascii="Arial" w:hAnsi="Arial" w:cs="Arial"/>
          <w:sz w:val="22"/>
          <w:szCs w:val="22"/>
          <w:lang w:val="uk-UA"/>
        </w:rPr>
        <w:t xml:space="preserve">платіжний </w:t>
      </w:r>
      <w:r w:rsidRPr="00030FDD">
        <w:rPr>
          <w:rFonts w:ascii="Arial" w:hAnsi="Arial" w:cs="Arial"/>
          <w:sz w:val="22"/>
          <w:szCs w:val="22"/>
          <w:lang w:val="uk-UA"/>
        </w:rPr>
        <w:t>термінал відділення банку, виписка про останні 10 тран</w:t>
      </w:r>
      <w:r w:rsidR="00322330">
        <w:rPr>
          <w:rFonts w:ascii="Arial" w:hAnsi="Arial" w:cs="Arial"/>
          <w:sz w:val="22"/>
          <w:szCs w:val="22"/>
          <w:lang w:val="uk-UA"/>
        </w:rPr>
        <w:t>с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акцій, отримана через банкомат Банку, зміна ПІН-коду через банкомат, переказ грошових коштів </w:t>
      </w:r>
      <w:r w:rsidR="0080507A" w:rsidRPr="00030FDD">
        <w:rPr>
          <w:rFonts w:ascii="Arial" w:hAnsi="Arial" w:cs="Arial"/>
          <w:sz w:val="22"/>
          <w:szCs w:val="22"/>
          <w:lang w:val="uk-UA"/>
        </w:rPr>
        <w:t>ч</w:t>
      </w:r>
      <w:r w:rsidRPr="00030FDD">
        <w:rPr>
          <w:rFonts w:ascii="Arial" w:hAnsi="Arial" w:cs="Arial"/>
          <w:sz w:val="22"/>
          <w:szCs w:val="22"/>
          <w:lang w:val="uk-UA"/>
        </w:rPr>
        <w:t>ерез банкомат Банку тощо. Перелік цих операцій може змінюватися.</w:t>
      </w:r>
    </w:p>
    <w:p w:rsidR="00071079" w:rsidRPr="00071079" w:rsidRDefault="00071079" w:rsidP="00071079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У разі здійснення </w:t>
      </w:r>
      <w:r w:rsidRPr="00071079">
        <w:rPr>
          <w:rFonts w:ascii="Arial" w:hAnsi="Arial" w:cs="Arial"/>
          <w:sz w:val="22"/>
          <w:szCs w:val="22"/>
          <w:lang w:val="uk-UA"/>
        </w:rPr>
        <w:t>за межами України</w:t>
      </w:r>
      <w:r>
        <w:rPr>
          <w:rFonts w:ascii="Arial" w:hAnsi="Arial" w:cs="Arial"/>
          <w:sz w:val="22"/>
          <w:szCs w:val="22"/>
          <w:lang w:val="uk-UA"/>
        </w:rPr>
        <w:t xml:space="preserve"> операції з отримання готівки або оплати товарів (у 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тому числі на </w:t>
      </w:r>
      <w:r>
        <w:rPr>
          <w:rFonts w:ascii="Arial" w:hAnsi="Arial" w:cs="Arial"/>
          <w:sz w:val="22"/>
          <w:szCs w:val="22"/>
          <w:lang w:val="uk-UA"/>
        </w:rPr>
        <w:t xml:space="preserve">іноземному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веб</w:t>
      </w:r>
      <w:r w:rsidRPr="00071079">
        <w:rPr>
          <w:rFonts w:ascii="Arial" w:hAnsi="Arial" w:cs="Arial"/>
          <w:sz w:val="22"/>
          <w:szCs w:val="22"/>
          <w:lang w:val="uk-UA"/>
        </w:rPr>
        <w:t>сайт</w:t>
      </w:r>
      <w:r>
        <w:rPr>
          <w:rFonts w:ascii="Arial" w:hAnsi="Arial" w:cs="Arial"/>
          <w:sz w:val="22"/>
          <w:szCs w:val="22"/>
          <w:lang w:val="uk-UA"/>
        </w:rPr>
        <w:t>і</w:t>
      </w:r>
      <w:proofErr w:type="spellEnd"/>
      <w:r>
        <w:rPr>
          <w:rFonts w:ascii="Arial" w:hAnsi="Arial" w:cs="Arial"/>
          <w:sz w:val="22"/>
          <w:szCs w:val="22"/>
          <w:lang w:val="uk-UA"/>
        </w:rPr>
        <w:t>)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, </w:t>
      </w:r>
      <w:r>
        <w:rPr>
          <w:rFonts w:ascii="Arial" w:hAnsi="Arial" w:cs="Arial"/>
          <w:sz w:val="22"/>
          <w:szCs w:val="22"/>
          <w:lang w:val="uk-UA"/>
        </w:rPr>
        <w:t>К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лієнту може бути запропоновано </w:t>
      </w:r>
      <w:r>
        <w:rPr>
          <w:rFonts w:ascii="Arial" w:hAnsi="Arial" w:cs="Arial"/>
          <w:sz w:val="22"/>
          <w:szCs w:val="22"/>
          <w:lang w:val="uk-UA"/>
        </w:rPr>
        <w:t>здійснити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 операцію у валюті, відмінній від валюти країни, в як</w:t>
      </w:r>
      <w:r>
        <w:rPr>
          <w:rFonts w:ascii="Arial" w:hAnsi="Arial" w:cs="Arial"/>
          <w:sz w:val="22"/>
          <w:szCs w:val="22"/>
          <w:lang w:val="uk-UA"/>
        </w:rPr>
        <w:t>і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й </w:t>
      </w:r>
      <w:r>
        <w:rPr>
          <w:rFonts w:ascii="Arial" w:hAnsi="Arial" w:cs="Arial"/>
          <w:sz w:val="22"/>
          <w:szCs w:val="22"/>
          <w:lang w:val="uk-UA"/>
        </w:rPr>
        <w:t>К</w:t>
      </w:r>
      <w:r w:rsidRPr="00071079">
        <w:rPr>
          <w:rFonts w:ascii="Arial" w:hAnsi="Arial" w:cs="Arial"/>
          <w:sz w:val="22"/>
          <w:szCs w:val="22"/>
          <w:lang w:val="uk-UA"/>
        </w:rPr>
        <w:t>лієнт здійснює операцію</w:t>
      </w:r>
      <w:r>
        <w:rPr>
          <w:rFonts w:ascii="Arial" w:hAnsi="Arial" w:cs="Arial"/>
          <w:sz w:val="22"/>
          <w:szCs w:val="22"/>
          <w:lang w:val="uk-UA"/>
        </w:rPr>
        <w:t xml:space="preserve"> (</w:t>
      </w:r>
      <w:r w:rsidRPr="00071079">
        <w:rPr>
          <w:rFonts w:ascii="Arial" w:hAnsi="Arial" w:cs="Arial"/>
          <w:sz w:val="22"/>
          <w:szCs w:val="22"/>
          <w:lang w:val="uk-UA"/>
        </w:rPr>
        <w:t>сервіс DCC</w:t>
      </w:r>
      <w:r>
        <w:rPr>
          <w:rFonts w:ascii="Arial" w:hAnsi="Arial" w:cs="Arial"/>
          <w:sz w:val="22"/>
          <w:szCs w:val="22"/>
          <w:lang w:val="uk-UA"/>
        </w:rPr>
        <w:t xml:space="preserve"> – </w:t>
      </w:r>
      <w:r>
        <w:rPr>
          <w:rFonts w:ascii="Arial" w:hAnsi="Arial" w:cs="Arial"/>
          <w:sz w:val="22"/>
          <w:szCs w:val="22"/>
          <w:lang w:val="en-US"/>
        </w:rPr>
        <w:t>d</w:t>
      </w:r>
      <w:proofErr w:type="spellStart"/>
      <w:r w:rsidRPr="00071079">
        <w:rPr>
          <w:rFonts w:ascii="Arial" w:hAnsi="Arial" w:cs="Arial"/>
          <w:sz w:val="22"/>
          <w:szCs w:val="22"/>
          <w:lang w:val="uk-UA"/>
        </w:rPr>
        <w:t>ynamic</w:t>
      </w:r>
      <w:proofErr w:type="spellEnd"/>
      <w:r w:rsidRPr="00071079">
        <w:rPr>
          <w:rFonts w:ascii="Arial" w:hAnsi="Arial" w:cs="Arial"/>
          <w:sz w:val="22"/>
          <w:szCs w:val="22"/>
          <w:lang w:val="uk-UA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</w:t>
      </w:r>
      <w:proofErr w:type="spellStart"/>
      <w:r w:rsidRPr="00071079">
        <w:rPr>
          <w:rFonts w:ascii="Arial" w:hAnsi="Arial" w:cs="Arial"/>
          <w:sz w:val="22"/>
          <w:szCs w:val="22"/>
          <w:lang w:val="uk-UA"/>
        </w:rPr>
        <w:t>urrency</w:t>
      </w:r>
      <w:proofErr w:type="spellEnd"/>
      <w:r w:rsidRPr="00071079">
        <w:rPr>
          <w:rFonts w:ascii="Arial" w:hAnsi="Arial" w:cs="Arial"/>
          <w:sz w:val="22"/>
          <w:szCs w:val="22"/>
          <w:lang w:val="uk-UA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</w:t>
      </w:r>
      <w:proofErr w:type="spellStart"/>
      <w:r w:rsidRPr="00071079">
        <w:rPr>
          <w:rFonts w:ascii="Arial" w:hAnsi="Arial" w:cs="Arial"/>
          <w:sz w:val="22"/>
          <w:szCs w:val="22"/>
          <w:lang w:val="uk-UA"/>
        </w:rPr>
        <w:t>onversion</w:t>
      </w:r>
      <w:proofErr w:type="spellEnd"/>
      <w:r>
        <w:rPr>
          <w:rFonts w:ascii="Arial" w:hAnsi="Arial" w:cs="Arial"/>
          <w:sz w:val="22"/>
          <w:szCs w:val="22"/>
          <w:lang w:val="uk-UA"/>
        </w:rPr>
        <w:t>, що передбачає миттєву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 </w:t>
      </w:r>
      <w:r>
        <w:rPr>
          <w:rFonts w:ascii="Arial" w:hAnsi="Arial" w:cs="Arial"/>
          <w:sz w:val="22"/>
          <w:szCs w:val="22"/>
          <w:lang w:val="uk-UA"/>
        </w:rPr>
        <w:t xml:space="preserve">конвертацію </w:t>
      </w:r>
      <w:r w:rsidRPr="00071079">
        <w:rPr>
          <w:rFonts w:ascii="Arial" w:hAnsi="Arial" w:cs="Arial"/>
          <w:sz w:val="22"/>
          <w:szCs w:val="22"/>
          <w:lang w:val="uk-UA"/>
        </w:rPr>
        <w:t>валюти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для переведення суми операції з місцевої валюти </w:t>
      </w:r>
      <w:r>
        <w:rPr>
          <w:rFonts w:ascii="Arial" w:hAnsi="Arial" w:cs="Arial"/>
          <w:sz w:val="22"/>
          <w:szCs w:val="22"/>
          <w:lang w:val="uk-UA"/>
        </w:rPr>
        <w:t>у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 валюту кра</w:t>
      </w:r>
      <w:r>
        <w:rPr>
          <w:rFonts w:ascii="Arial" w:hAnsi="Arial" w:cs="Arial"/>
          <w:sz w:val="22"/>
          <w:szCs w:val="22"/>
          <w:lang w:val="uk-UA"/>
        </w:rPr>
        <w:t>їни, на території якої випущено ЕПЗ</w:t>
      </w:r>
      <w:r w:rsidR="00B8135A">
        <w:rPr>
          <w:rFonts w:ascii="Arial" w:hAnsi="Arial" w:cs="Arial"/>
          <w:sz w:val="22"/>
          <w:szCs w:val="22"/>
          <w:lang w:val="uk-UA"/>
        </w:rPr>
        <w:t>)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. </w:t>
      </w:r>
      <w:r>
        <w:rPr>
          <w:rFonts w:ascii="Arial" w:hAnsi="Arial" w:cs="Arial"/>
          <w:sz w:val="22"/>
          <w:szCs w:val="22"/>
          <w:lang w:val="uk-UA"/>
        </w:rPr>
        <w:t xml:space="preserve">Як правило, у таких випадках 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курс </w:t>
      </w:r>
      <w:r>
        <w:rPr>
          <w:rFonts w:ascii="Arial" w:hAnsi="Arial" w:cs="Arial"/>
          <w:sz w:val="22"/>
          <w:szCs w:val="22"/>
          <w:lang w:val="uk-UA"/>
        </w:rPr>
        <w:t>конвертації є менш вигідним для Клієнта, т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ому </w:t>
      </w:r>
      <w:r>
        <w:rPr>
          <w:rFonts w:ascii="Arial" w:hAnsi="Arial" w:cs="Arial"/>
          <w:sz w:val="22"/>
          <w:szCs w:val="22"/>
          <w:lang w:val="uk-UA"/>
        </w:rPr>
        <w:t xml:space="preserve">у більшості випадків може бути </w:t>
      </w:r>
      <w:r w:rsidRPr="00071079">
        <w:rPr>
          <w:rFonts w:ascii="Arial" w:hAnsi="Arial" w:cs="Arial"/>
          <w:sz w:val="22"/>
          <w:szCs w:val="22"/>
          <w:lang w:val="uk-UA"/>
        </w:rPr>
        <w:t>рекоменд</w:t>
      </w:r>
      <w:r>
        <w:rPr>
          <w:rFonts w:ascii="Arial" w:hAnsi="Arial" w:cs="Arial"/>
          <w:sz w:val="22"/>
          <w:szCs w:val="22"/>
          <w:lang w:val="uk-UA"/>
        </w:rPr>
        <w:t xml:space="preserve">овано </w:t>
      </w:r>
      <w:r w:rsidRPr="00071079">
        <w:rPr>
          <w:rFonts w:ascii="Arial" w:hAnsi="Arial" w:cs="Arial"/>
          <w:sz w:val="22"/>
          <w:szCs w:val="22"/>
          <w:lang w:val="uk-UA"/>
        </w:rPr>
        <w:t xml:space="preserve">обирати саме валюту країни, в якій </w:t>
      </w:r>
      <w:r w:rsidR="00121E87">
        <w:rPr>
          <w:rFonts w:ascii="Arial" w:hAnsi="Arial" w:cs="Arial"/>
          <w:sz w:val="22"/>
          <w:szCs w:val="22"/>
          <w:lang w:val="uk-UA"/>
        </w:rPr>
        <w:t>здійснюється операція</w:t>
      </w:r>
      <w:r>
        <w:rPr>
          <w:rFonts w:ascii="Arial" w:hAnsi="Arial" w:cs="Arial"/>
          <w:sz w:val="22"/>
          <w:szCs w:val="22"/>
          <w:lang w:val="uk-UA"/>
        </w:rPr>
        <w:t xml:space="preserve"> (</w:t>
      </w:r>
      <w:r w:rsidRPr="00071079">
        <w:rPr>
          <w:rFonts w:ascii="Arial" w:hAnsi="Arial" w:cs="Arial"/>
          <w:sz w:val="22"/>
          <w:szCs w:val="22"/>
          <w:lang w:val="uk-UA"/>
        </w:rPr>
        <w:t>знаходиться продавець/банкомат</w:t>
      </w:r>
      <w:r>
        <w:rPr>
          <w:rFonts w:ascii="Arial" w:hAnsi="Arial" w:cs="Arial"/>
          <w:sz w:val="22"/>
          <w:szCs w:val="22"/>
          <w:lang w:val="uk-UA"/>
        </w:rPr>
        <w:t>/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вебсайт</w:t>
      </w:r>
      <w:proofErr w:type="spellEnd"/>
      <w:r>
        <w:rPr>
          <w:rFonts w:ascii="Arial" w:hAnsi="Arial" w:cs="Arial"/>
          <w:sz w:val="22"/>
          <w:szCs w:val="22"/>
          <w:lang w:val="uk-UA"/>
        </w:rPr>
        <w:t>)</w:t>
      </w:r>
      <w:r w:rsidRPr="00071079">
        <w:rPr>
          <w:rFonts w:ascii="Arial" w:hAnsi="Arial" w:cs="Arial"/>
          <w:sz w:val="22"/>
          <w:szCs w:val="22"/>
          <w:lang w:val="uk-UA"/>
        </w:rPr>
        <w:t>.</w:t>
      </w:r>
    </w:p>
    <w:p w:rsidR="00EB79F7" w:rsidRPr="00030FDD" w:rsidRDefault="00EB79F7" w:rsidP="00EB79F7">
      <w:pPr>
        <w:spacing w:after="0" w:line="240" w:lineRule="auto"/>
      </w:pPr>
    </w:p>
    <w:p w:rsidR="00EB79F7" w:rsidRPr="00030FDD" w:rsidRDefault="00EB79F7" w:rsidP="00FC6FF7">
      <w:pPr>
        <w:pStyle w:val="aa"/>
        <w:numPr>
          <w:ilvl w:val="0"/>
          <w:numId w:val="3"/>
        </w:numPr>
        <w:tabs>
          <w:tab w:val="left" w:pos="567"/>
        </w:tabs>
        <w:spacing w:after="0"/>
        <w:ind w:left="0" w:right="-1" w:firstLine="0"/>
        <w:rPr>
          <w:rFonts w:ascii="Arial" w:eastAsia="MS Mincho" w:hAnsi="Arial" w:cs="Arial"/>
          <w:b/>
          <w:sz w:val="22"/>
          <w:szCs w:val="22"/>
          <w:lang w:val="uk-UA"/>
        </w:rPr>
      </w:pP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>ОТРИМАННЯ ГОТІВКОВИХ КОШТІВ</w:t>
      </w:r>
    </w:p>
    <w:p w:rsidR="00EB79F7" w:rsidRPr="00030FDD" w:rsidRDefault="00EB79F7" w:rsidP="00EB79F7">
      <w:pPr>
        <w:spacing w:after="0" w:line="240" w:lineRule="auto"/>
      </w:pPr>
    </w:p>
    <w:p w:rsidR="0067680F" w:rsidRPr="00030FDD" w:rsidRDefault="00E9193A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Умовою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видачі готівкових коштів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за ЕПЗ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через банкомат є правильне введення ПІН-коду. У випадку триразового невірного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введення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ПІН-коду </w:t>
      </w:r>
      <w:r w:rsidRPr="00030FDD">
        <w:rPr>
          <w:rFonts w:ascii="Arial" w:hAnsi="Arial" w:cs="Arial"/>
          <w:sz w:val="22"/>
          <w:szCs w:val="22"/>
          <w:lang w:val="uk-UA"/>
        </w:rPr>
        <w:t>ЕПЗ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 блокується</w:t>
      </w:r>
      <w:r w:rsidRPr="00030FDD">
        <w:rPr>
          <w:rFonts w:ascii="Arial" w:hAnsi="Arial" w:cs="Arial"/>
          <w:sz w:val="22"/>
          <w:szCs w:val="22"/>
          <w:lang w:val="uk-UA"/>
        </w:rPr>
        <w:t>. Р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озблокування здійснюється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держателем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в телефонному режимі за контактними номерами телефонів </w:t>
      </w:r>
      <w:r w:rsidR="00136417" w:rsidRPr="00030FDD">
        <w:rPr>
          <w:rFonts w:ascii="Arial" w:hAnsi="Arial" w:cs="Arial"/>
          <w:sz w:val="22"/>
          <w:szCs w:val="22"/>
          <w:lang w:val="uk-UA"/>
        </w:rPr>
        <w:t>Банку.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Банкомат за вимогою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держателя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надає чек за кожною операцією. Банк рекомендує зберігати всі ці чеки. 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Для отримання готівки в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б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анкоматі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>ержателю необхідно:</w:t>
      </w:r>
    </w:p>
    <w:p w:rsidR="0067680F" w:rsidRPr="00030FDD" w:rsidRDefault="0067680F" w:rsidP="004B51F5">
      <w:pPr>
        <w:pStyle w:val="2"/>
        <w:numPr>
          <w:ilvl w:val="0"/>
          <w:numId w:val="4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переконатися у відсутності на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б</w:t>
      </w:r>
      <w:r w:rsidRPr="00030FDD">
        <w:rPr>
          <w:rFonts w:ascii="Arial" w:hAnsi="Arial" w:cs="Arial"/>
          <w:sz w:val="22"/>
          <w:szCs w:val="22"/>
          <w:lang w:val="uk-UA"/>
        </w:rPr>
        <w:t>анкоматі сторонніх пристроїв: накладок на клавіатуру для введення ПІН-коду</w:t>
      </w:r>
      <w:r w:rsidR="00E9193A" w:rsidRPr="00030FDD">
        <w:rPr>
          <w:rFonts w:ascii="Arial" w:hAnsi="Arial" w:cs="Arial"/>
          <w:sz w:val="22"/>
          <w:szCs w:val="22"/>
          <w:lang w:val="uk-UA"/>
        </w:rPr>
        <w:t>,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підозрілих елементів на пристрої для зчитування даних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. В разі виявлення сторонніх пристроїв на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б</w:t>
      </w:r>
      <w:r w:rsidRPr="00030FDD">
        <w:rPr>
          <w:rFonts w:ascii="Arial" w:hAnsi="Arial" w:cs="Arial"/>
          <w:sz w:val="22"/>
          <w:szCs w:val="22"/>
          <w:lang w:val="uk-UA"/>
        </w:rPr>
        <w:t>анкоматі, необхідно звернутись до Банку з повідомленням про такий факт та відмовитись від виконання операці</w:t>
      </w:r>
      <w:r w:rsidR="00E9193A" w:rsidRPr="00030FDD">
        <w:rPr>
          <w:rFonts w:ascii="Arial" w:hAnsi="Arial" w:cs="Arial"/>
          <w:sz w:val="22"/>
          <w:szCs w:val="22"/>
          <w:lang w:val="uk-UA"/>
        </w:rPr>
        <w:t>ї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в </w:t>
      </w:r>
      <w:r w:rsidR="00E9193A" w:rsidRPr="00030FDD">
        <w:rPr>
          <w:rFonts w:ascii="Arial" w:hAnsi="Arial" w:cs="Arial"/>
          <w:sz w:val="22"/>
          <w:szCs w:val="22"/>
          <w:lang w:val="uk-UA"/>
        </w:rPr>
        <w:t xml:space="preserve">цьому </w:t>
      </w:r>
      <w:r w:rsidR="00EB51FA" w:rsidRPr="00030FDD">
        <w:rPr>
          <w:rFonts w:ascii="Arial" w:hAnsi="Arial" w:cs="Arial"/>
          <w:sz w:val="22"/>
          <w:szCs w:val="22"/>
          <w:lang w:val="uk-UA"/>
        </w:rPr>
        <w:t>б</w:t>
      </w:r>
      <w:r w:rsidRPr="00030FDD">
        <w:rPr>
          <w:rFonts w:ascii="Arial" w:hAnsi="Arial" w:cs="Arial"/>
          <w:sz w:val="22"/>
          <w:szCs w:val="22"/>
          <w:lang w:val="uk-UA"/>
        </w:rPr>
        <w:t>анкоматі;</w:t>
      </w:r>
    </w:p>
    <w:p w:rsidR="0067680F" w:rsidRPr="00030FDD" w:rsidRDefault="0067680F" w:rsidP="004B51F5">
      <w:pPr>
        <w:pStyle w:val="2"/>
        <w:numPr>
          <w:ilvl w:val="0"/>
          <w:numId w:val="4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переконатися в тому, що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б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анкомат працює.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Я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кщо банкомат не працює, на екрані з’явиться повідомлення: «банкомат тимчасово не працює», «OFF LINE» </w:t>
      </w:r>
      <w:r w:rsidR="00EB51FA" w:rsidRPr="00030FDD">
        <w:rPr>
          <w:rFonts w:ascii="Arial" w:hAnsi="Arial" w:cs="Arial"/>
          <w:sz w:val="22"/>
          <w:szCs w:val="22"/>
          <w:lang w:val="uk-UA"/>
        </w:rPr>
        <w:t xml:space="preserve">або подібне, </w:t>
      </w:r>
      <w:r w:rsidRPr="00030FDD">
        <w:rPr>
          <w:rFonts w:ascii="Arial" w:hAnsi="Arial" w:cs="Arial"/>
          <w:sz w:val="22"/>
          <w:szCs w:val="22"/>
          <w:lang w:val="uk-UA"/>
        </w:rPr>
        <w:t>або ж екран взагалі</w:t>
      </w:r>
      <w:r w:rsidR="00EB51FA" w:rsidRPr="00030FDD">
        <w:rPr>
          <w:rFonts w:ascii="Arial" w:hAnsi="Arial" w:cs="Arial"/>
          <w:sz w:val="22"/>
          <w:szCs w:val="22"/>
          <w:lang w:val="uk-UA"/>
        </w:rPr>
        <w:t xml:space="preserve"> буде вимкнений</w:t>
      </w:r>
      <w:r w:rsidRPr="00030FDD">
        <w:rPr>
          <w:rFonts w:ascii="Arial" w:hAnsi="Arial" w:cs="Arial"/>
          <w:sz w:val="22"/>
          <w:szCs w:val="22"/>
          <w:lang w:val="uk-UA"/>
        </w:rPr>
        <w:t>;</w:t>
      </w:r>
    </w:p>
    <w:p w:rsidR="00E9193A" w:rsidRPr="00030FDD" w:rsidRDefault="0067680F" w:rsidP="004B51F5">
      <w:pPr>
        <w:pStyle w:val="2"/>
        <w:numPr>
          <w:ilvl w:val="0"/>
          <w:numId w:val="4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вставити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в приймач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б</w:t>
      </w:r>
      <w:r w:rsidRPr="00030FDD">
        <w:rPr>
          <w:rFonts w:ascii="Arial" w:hAnsi="Arial" w:cs="Arial"/>
          <w:sz w:val="22"/>
          <w:szCs w:val="22"/>
          <w:lang w:val="uk-UA"/>
        </w:rPr>
        <w:t>анкомату магнітною стрічкою донизу</w:t>
      </w:r>
      <w:r w:rsidR="00315BCD">
        <w:rPr>
          <w:rFonts w:ascii="Arial" w:hAnsi="Arial" w:cs="Arial"/>
          <w:sz w:val="22"/>
          <w:szCs w:val="22"/>
          <w:lang w:val="uk-UA"/>
        </w:rPr>
        <w:t xml:space="preserve"> або піднести ЕПЗ до панелі </w:t>
      </w:r>
      <w:r w:rsidR="00315BCD" w:rsidRPr="00315BCD">
        <w:rPr>
          <w:rFonts w:ascii="Arial" w:hAnsi="Arial" w:cs="Arial"/>
          <w:sz w:val="22"/>
          <w:szCs w:val="22"/>
          <w:lang w:val="uk-UA"/>
        </w:rPr>
        <w:t>NFC</w:t>
      </w:r>
      <w:r w:rsidR="00315BCD">
        <w:rPr>
          <w:rFonts w:ascii="Arial" w:hAnsi="Arial" w:cs="Arial"/>
          <w:sz w:val="22"/>
          <w:szCs w:val="22"/>
          <w:lang w:val="uk-UA"/>
        </w:rPr>
        <w:t>-модуля банкомату (якщо ЕПЗ і банкомат мають відповідні функції)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, </w:t>
      </w:r>
      <w:r w:rsidR="00E9193A" w:rsidRPr="00030FDD">
        <w:rPr>
          <w:rFonts w:ascii="Arial" w:hAnsi="Arial" w:cs="Arial"/>
          <w:sz w:val="22"/>
          <w:szCs w:val="22"/>
          <w:lang w:val="uk-UA"/>
        </w:rPr>
        <w:t xml:space="preserve">після чого ЕПЗ буде прийнятий </w:t>
      </w:r>
      <w:r w:rsidRPr="00030FDD">
        <w:rPr>
          <w:rFonts w:ascii="Arial" w:hAnsi="Arial" w:cs="Arial"/>
          <w:sz w:val="22"/>
          <w:szCs w:val="22"/>
          <w:lang w:val="uk-UA"/>
        </w:rPr>
        <w:t>до опрацювання;</w:t>
      </w:r>
    </w:p>
    <w:p w:rsidR="0067680F" w:rsidRPr="00030FDD" w:rsidRDefault="0067680F" w:rsidP="004B51F5">
      <w:pPr>
        <w:pStyle w:val="2"/>
        <w:numPr>
          <w:ilvl w:val="0"/>
          <w:numId w:val="4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послідовно виконувати зазначені на екрані </w:t>
      </w:r>
      <w:r w:rsidR="00493756" w:rsidRPr="00030FDD">
        <w:rPr>
          <w:rFonts w:ascii="Arial" w:hAnsi="Arial" w:cs="Arial"/>
          <w:sz w:val="22"/>
          <w:szCs w:val="22"/>
          <w:lang w:val="uk-UA"/>
        </w:rPr>
        <w:t>б</w:t>
      </w:r>
      <w:r w:rsidRPr="00030FDD">
        <w:rPr>
          <w:rFonts w:ascii="Arial" w:hAnsi="Arial" w:cs="Arial"/>
          <w:sz w:val="22"/>
          <w:szCs w:val="22"/>
          <w:lang w:val="uk-UA"/>
        </w:rPr>
        <w:t>анкомату повідомлення, обираючи відповідні опції;</w:t>
      </w:r>
    </w:p>
    <w:p w:rsidR="0067680F" w:rsidRPr="00030FDD" w:rsidRDefault="0067680F" w:rsidP="004B51F5">
      <w:pPr>
        <w:pStyle w:val="2"/>
        <w:numPr>
          <w:ilvl w:val="0"/>
          <w:numId w:val="4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у разі виникнення проблем, пов’язаних з некоректною роботою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б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анкомату,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видачею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невірних купюр</w:t>
      </w:r>
      <w:r w:rsidR="00E9193A" w:rsidRPr="00030FDD">
        <w:rPr>
          <w:rFonts w:ascii="Arial" w:hAnsi="Arial" w:cs="Arial"/>
          <w:sz w:val="22"/>
          <w:szCs w:val="22"/>
          <w:lang w:val="uk-UA"/>
        </w:rPr>
        <w:t xml:space="preserve"> або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невірної суми,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ержатель може звернутись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до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відділення Банку.</w:t>
      </w:r>
    </w:p>
    <w:p w:rsidR="00731A49" w:rsidRPr="00030FDD" w:rsidRDefault="00731A49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У разі затримання ЕПЗ банкоматом Банку, держатель протягом 10 календарних днів повинен надати до відділення Банку заяву про повернення такого ЕПЗ. У протилежному випадку, після завершення зазначеного терміну Банк має право знищити ЕПЗ.</w:t>
      </w:r>
    </w:p>
    <w:p w:rsidR="00731A49" w:rsidRPr="00030FDD" w:rsidRDefault="00731A49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У разі затримання ЕПЗ банкоматом іншого банку, держателю необхідно звернутися до такого банку для уточнення умов повернення ЕПЗ. В разі необхідності отримання іншим банком підтвердження від Банку на видачу ЕПЗ, держателю необхідно звернутися до відділення Банку для написання заяви щодо необхідності відправлення такого підтвердження.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Для отримання готівки у пункті видачі готівки (відділені </w:t>
      </w:r>
      <w:r w:rsidR="00493756" w:rsidRPr="00030FDD">
        <w:rPr>
          <w:rFonts w:ascii="Arial" w:hAnsi="Arial" w:cs="Arial"/>
          <w:sz w:val="22"/>
          <w:szCs w:val="22"/>
          <w:lang w:val="uk-UA"/>
        </w:rPr>
        <w:t>б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анку) за допомогою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ЕПЗ д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ержатель повинен надати касиру </w:t>
      </w:r>
      <w:r w:rsidR="00E9193A" w:rsidRPr="00030FDD">
        <w:rPr>
          <w:rFonts w:ascii="Arial" w:hAnsi="Arial" w:cs="Arial"/>
          <w:sz w:val="22"/>
          <w:szCs w:val="22"/>
          <w:lang w:val="uk-UA"/>
        </w:rPr>
        <w:t xml:space="preserve">ЕПЗ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та документ, що посвідчує його особу. Касир перевіряє, чи відповідає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ЕПЗ у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становленим вимогам, після чого ідентифікує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>ержателя</w:t>
      </w:r>
      <w:r w:rsidR="00E9193A" w:rsidRPr="00030FDD">
        <w:rPr>
          <w:rFonts w:ascii="Arial" w:hAnsi="Arial" w:cs="Arial"/>
          <w:sz w:val="22"/>
          <w:szCs w:val="22"/>
          <w:lang w:val="uk-UA"/>
        </w:rPr>
        <w:t xml:space="preserve"> –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перевіряє</w:t>
      </w:r>
      <w:r w:rsidR="00E9193A"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паспорт (або інший документ, що його замінює) та при необхідності вимагає від </w:t>
      </w:r>
      <w:r w:rsidR="00E9193A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>ержателя введення ПІН-коду в момент здійснення операції.</w:t>
      </w:r>
    </w:p>
    <w:p w:rsidR="00835CAD" w:rsidRDefault="00835CAD" w:rsidP="00835CAD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У разі отримання </w:t>
      </w:r>
      <w:r w:rsidRPr="002C1FA2">
        <w:rPr>
          <w:rFonts w:ascii="Arial" w:hAnsi="Arial" w:cs="Arial"/>
          <w:sz w:val="22"/>
          <w:szCs w:val="22"/>
          <w:lang w:val="uk-UA"/>
        </w:rPr>
        <w:t>готівк</w:t>
      </w:r>
      <w:r>
        <w:rPr>
          <w:rFonts w:ascii="Arial" w:hAnsi="Arial" w:cs="Arial"/>
          <w:sz w:val="22"/>
          <w:szCs w:val="22"/>
          <w:lang w:val="uk-UA"/>
        </w:rPr>
        <w:t>и</w:t>
      </w:r>
      <w:r w:rsidRPr="002C1FA2">
        <w:rPr>
          <w:rFonts w:ascii="Arial" w:hAnsi="Arial" w:cs="Arial"/>
          <w:sz w:val="22"/>
          <w:szCs w:val="22"/>
          <w:lang w:val="uk-UA"/>
        </w:rPr>
        <w:t xml:space="preserve"> у </w:t>
      </w:r>
      <w:r>
        <w:rPr>
          <w:rFonts w:ascii="Arial" w:hAnsi="Arial" w:cs="Arial"/>
          <w:sz w:val="22"/>
          <w:szCs w:val="22"/>
          <w:lang w:val="uk-UA"/>
        </w:rPr>
        <w:t xml:space="preserve">касі іншого банку в Україні, а також у </w:t>
      </w:r>
      <w:r w:rsidRPr="002C1FA2">
        <w:rPr>
          <w:rFonts w:ascii="Arial" w:hAnsi="Arial" w:cs="Arial"/>
          <w:sz w:val="22"/>
          <w:szCs w:val="22"/>
          <w:lang w:val="uk-UA"/>
        </w:rPr>
        <w:t xml:space="preserve">мережі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банкоматів</w:t>
      </w:r>
      <w:proofErr w:type="spellEnd"/>
      <w:r>
        <w:rPr>
          <w:rFonts w:ascii="Arial" w:hAnsi="Arial" w:cs="Arial"/>
          <w:sz w:val="22"/>
          <w:szCs w:val="22"/>
          <w:lang w:val="uk-UA"/>
        </w:rPr>
        <w:t xml:space="preserve"> чи касах</w:t>
      </w:r>
      <w:r w:rsidRPr="002C1FA2">
        <w:rPr>
          <w:rFonts w:ascii="Arial" w:hAnsi="Arial" w:cs="Arial"/>
          <w:sz w:val="22"/>
          <w:szCs w:val="22"/>
          <w:lang w:val="uk-UA"/>
        </w:rPr>
        <w:t xml:space="preserve"> банків</w:t>
      </w:r>
      <w:r>
        <w:rPr>
          <w:rFonts w:ascii="Arial" w:hAnsi="Arial" w:cs="Arial"/>
          <w:sz w:val="22"/>
          <w:szCs w:val="22"/>
          <w:lang w:val="uk-UA"/>
        </w:rPr>
        <w:t xml:space="preserve"> за межами України</w:t>
      </w:r>
      <w:r w:rsidRPr="002C1FA2">
        <w:rPr>
          <w:rFonts w:ascii="Arial" w:hAnsi="Arial" w:cs="Arial"/>
          <w:sz w:val="22"/>
          <w:szCs w:val="22"/>
          <w:lang w:val="uk-UA"/>
        </w:rPr>
        <w:t xml:space="preserve">, </w:t>
      </w:r>
      <w:r w:rsidR="00DF3016">
        <w:rPr>
          <w:rFonts w:ascii="Arial" w:hAnsi="Arial" w:cs="Arial"/>
          <w:sz w:val="22"/>
          <w:szCs w:val="22"/>
          <w:lang w:val="uk-UA"/>
        </w:rPr>
        <w:t>такі інші банки можуть стягувати</w:t>
      </w:r>
      <w:r w:rsidR="00B8135A">
        <w:rPr>
          <w:rFonts w:ascii="Arial" w:hAnsi="Arial" w:cs="Arial"/>
          <w:sz w:val="22"/>
          <w:szCs w:val="22"/>
          <w:lang w:val="uk-UA"/>
        </w:rPr>
        <w:t xml:space="preserve"> </w:t>
      </w:r>
      <w:r w:rsidRPr="002C1FA2">
        <w:rPr>
          <w:rFonts w:ascii="Arial" w:hAnsi="Arial" w:cs="Arial"/>
          <w:sz w:val="22"/>
          <w:szCs w:val="22"/>
          <w:lang w:val="uk-UA"/>
        </w:rPr>
        <w:t>комісі</w:t>
      </w:r>
      <w:r w:rsidR="00DF3016">
        <w:rPr>
          <w:rFonts w:ascii="Arial" w:hAnsi="Arial" w:cs="Arial"/>
          <w:sz w:val="22"/>
          <w:szCs w:val="22"/>
          <w:lang w:val="uk-UA"/>
        </w:rPr>
        <w:t>ї</w:t>
      </w:r>
      <w:r w:rsidRPr="002C1FA2">
        <w:rPr>
          <w:rFonts w:ascii="Arial" w:hAnsi="Arial" w:cs="Arial"/>
          <w:sz w:val="22"/>
          <w:szCs w:val="22"/>
          <w:lang w:val="uk-UA"/>
        </w:rPr>
        <w:t xml:space="preserve">, </w:t>
      </w:r>
      <w:r>
        <w:rPr>
          <w:rFonts w:ascii="Arial" w:hAnsi="Arial" w:cs="Arial"/>
          <w:sz w:val="22"/>
          <w:szCs w:val="22"/>
          <w:lang w:val="uk-UA"/>
        </w:rPr>
        <w:t xml:space="preserve">що </w:t>
      </w:r>
      <w:r w:rsidRPr="002C1FA2">
        <w:rPr>
          <w:rFonts w:ascii="Arial" w:hAnsi="Arial" w:cs="Arial"/>
          <w:sz w:val="22"/>
          <w:szCs w:val="22"/>
          <w:lang w:val="uk-UA"/>
        </w:rPr>
        <w:t xml:space="preserve">додаються до суми операції </w:t>
      </w:r>
      <w:r>
        <w:rPr>
          <w:rFonts w:ascii="Arial" w:hAnsi="Arial" w:cs="Arial"/>
          <w:sz w:val="22"/>
          <w:szCs w:val="22"/>
          <w:lang w:val="uk-UA"/>
        </w:rPr>
        <w:t>і</w:t>
      </w:r>
      <w:r w:rsidRPr="002C1FA2">
        <w:rPr>
          <w:rFonts w:ascii="Arial" w:hAnsi="Arial" w:cs="Arial"/>
          <w:sz w:val="22"/>
          <w:szCs w:val="22"/>
          <w:lang w:val="uk-UA"/>
        </w:rPr>
        <w:t xml:space="preserve"> списуються з рахунку </w:t>
      </w:r>
      <w:r>
        <w:rPr>
          <w:rFonts w:ascii="Arial" w:hAnsi="Arial" w:cs="Arial"/>
          <w:sz w:val="22"/>
          <w:szCs w:val="22"/>
          <w:lang w:val="uk-UA"/>
        </w:rPr>
        <w:t>Клієнта загальною сумою.</w:t>
      </w:r>
    </w:p>
    <w:p w:rsidR="00281024" w:rsidRPr="00030FDD" w:rsidRDefault="00281024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У разі використання ЕПЗ для отримання готівкових коштів через </w:t>
      </w:r>
      <w:r w:rsidR="00F6358A">
        <w:rPr>
          <w:rFonts w:ascii="Arial" w:hAnsi="Arial" w:cs="Arial"/>
          <w:sz w:val="22"/>
          <w:szCs w:val="22"/>
          <w:lang w:val="uk-UA"/>
        </w:rPr>
        <w:t>платіжний термінал</w:t>
      </w:r>
      <w:r w:rsidRPr="00030FDD">
        <w:rPr>
          <w:rFonts w:ascii="Arial" w:hAnsi="Arial" w:cs="Arial"/>
          <w:sz w:val="22"/>
          <w:szCs w:val="22"/>
          <w:lang w:val="uk-UA"/>
        </w:rPr>
        <w:t>, встановлений у торг</w:t>
      </w:r>
      <w:r w:rsidR="00493756" w:rsidRPr="00030FDD">
        <w:rPr>
          <w:rFonts w:ascii="Arial" w:hAnsi="Arial" w:cs="Arial"/>
          <w:sz w:val="22"/>
          <w:szCs w:val="22"/>
          <w:lang w:val="uk-UA"/>
        </w:rPr>
        <w:t>о</w:t>
      </w:r>
      <w:r w:rsidRPr="00030FDD">
        <w:rPr>
          <w:rFonts w:ascii="Arial" w:hAnsi="Arial" w:cs="Arial"/>
          <w:sz w:val="22"/>
          <w:szCs w:val="22"/>
          <w:lang w:val="uk-UA"/>
        </w:rPr>
        <w:t>вельній точці:</w:t>
      </w:r>
    </w:p>
    <w:p w:rsidR="00FD7B03" w:rsidRDefault="00FD7B03" w:rsidP="004B51F5">
      <w:pPr>
        <w:pStyle w:val="2"/>
        <w:numPr>
          <w:ilvl w:val="0"/>
          <w:numId w:val="5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передумовою до здійснення такої операції </w:t>
      </w:r>
      <w:r w:rsidR="00DF3016">
        <w:rPr>
          <w:rFonts w:ascii="Arial" w:hAnsi="Arial" w:cs="Arial"/>
          <w:sz w:val="22"/>
          <w:szCs w:val="22"/>
          <w:lang w:val="uk-UA"/>
        </w:rPr>
        <w:t>є</w:t>
      </w:r>
      <w:r>
        <w:rPr>
          <w:rFonts w:ascii="Arial" w:hAnsi="Arial" w:cs="Arial"/>
          <w:sz w:val="22"/>
          <w:szCs w:val="22"/>
          <w:lang w:val="uk-UA"/>
        </w:rPr>
        <w:t xml:space="preserve"> вимога про здійснення оплати </w:t>
      </w:r>
      <w:r w:rsidR="00B8135A">
        <w:rPr>
          <w:rFonts w:ascii="Arial" w:hAnsi="Arial" w:cs="Arial"/>
          <w:sz w:val="22"/>
          <w:szCs w:val="22"/>
          <w:lang w:val="uk-UA"/>
        </w:rPr>
        <w:t>з</w:t>
      </w:r>
      <w:r>
        <w:rPr>
          <w:rFonts w:ascii="Arial" w:hAnsi="Arial" w:cs="Arial"/>
          <w:sz w:val="22"/>
          <w:szCs w:val="22"/>
          <w:lang w:val="uk-UA"/>
        </w:rPr>
        <w:t>а товари і послуги такої торгової точки;</w:t>
      </w:r>
    </w:p>
    <w:p w:rsidR="00281024" w:rsidRPr="00030FDD" w:rsidRDefault="00281024" w:rsidP="004B51F5">
      <w:pPr>
        <w:pStyle w:val="2"/>
        <w:numPr>
          <w:ilvl w:val="0"/>
          <w:numId w:val="5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обмеження за сумою видачі готівкових коштів через </w:t>
      </w:r>
      <w:r w:rsidR="00F6358A">
        <w:rPr>
          <w:rFonts w:ascii="Arial" w:hAnsi="Arial" w:cs="Arial"/>
          <w:sz w:val="22"/>
          <w:szCs w:val="22"/>
          <w:lang w:val="uk-UA"/>
        </w:rPr>
        <w:t>платіжний термінал</w:t>
      </w:r>
      <w:r w:rsidRPr="00030FDD">
        <w:rPr>
          <w:rFonts w:ascii="Arial" w:hAnsi="Arial" w:cs="Arial"/>
          <w:sz w:val="22"/>
          <w:szCs w:val="22"/>
          <w:lang w:val="uk-UA"/>
        </w:rPr>
        <w:t>, встановлений у торг</w:t>
      </w:r>
      <w:r w:rsidR="00493756" w:rsidRPr="00030FDD">
        <w:rPr>
          <w:rFonts w:ascii="Arial" w:hAnsi="Arial" w:cs="Arial"/>
          <w:sz w:val="22"/>
          <w:szCs w:val="22"/>
          <w:lang w:val="uk-UA"/>
        </w:rPr>
        <w:t>о</w:t>
      </w:r>
      <w:r w:rsidRPr="00030FDD">
        <w:rPr>
          <w:rFonts w:ascii="Arial" w:hAnsi="Arial" w:cs="Arial"/>
          <w:sz w:val="22"/>
          <w:szCs w:val="22"/>
          <w:lang w:val="uk-UA"/>
        </w:rPr>
        <w:t>вельній точці, визначаються правилами платіжної системи;</w:t>
      </w:r>
    </w:p>
    <w:p w:rsidR="00281024" w:rsidRPr="00030FDD" w:rsidRDefault="00281024" w:rsidP="004B51F5">
      <w:pPr>
        <w:pStyle w:val="2"/>
        <w:numPr>
          <w:ilvl w:val="0"/>
          <w:numId w:val="5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підтвердження операції видачі готівкових коштів через </w:t>
      </w:r>
      <w:r w:rsidR="00F6358A">
        <w:rPr>
          <w:rFonts w:ascii="Arial" w:hAnsi="Arial" w:cs="Arial"/>
          <w:sz w:val="22"/>
          <w:szCs w:val="22"/>
          <w:lang w:val="uk-UA"/>
        </w:rPr>
        <w:t>платіжний термінал</w:t>
      </w:r>
      <w:r w:rsidRPr="00030FDD">
        <w:rPr>
          <w:rFonts w:ascii="Arial" w:hAnsi="Arial" w:cs="Arial"/>
          <w:sz w:val="22"/>
          <w:szCs w:val="22"/>
          <w:lang w:val="uk-UA"/>
        </w:rPr>
        <w:t>, встановлений у торг</w:t>
      </w:r>
      <w:r w:rsidR="00493756" w:rsidRPr="00030FDD">
        <w:rPr>
          <w:rFonts w:ascii="Arial" w:hAnsi="Arial" w:cs="Arial"/>
          <w:sz w:val="22"/>
          <w:szCs w:val="22"/>
          <w:lang w:val="uk-UA"/>
        </w:rPr>
        <w:t>о</w:t>
      </w:r>
      <w:r w:rsidRPr="00030FDD">
        <w:rPr>
          <w:rFonts w:ascii="Arial" w:hAnsi="Arial" w:cs="Arial"/>
          <w:sz w:val="22"/>
          <w:szCs w:val="22"/>
          <w:lang w:val="uk-UA"/>
        </w:rPr>
        <w:t>вельній точці, може здійснюватися за допомогою введення ПІН-коду;</w:t>
      </w:r>
    </w:p>
    <w:p w:rsidR="00F6358A" w:rsidRDefault="00281024" w:rsidP="004B51F5">
      <w:pPr>
        <w:pStyle w:val="2"/>
        <w:numPr>
          <w:ilvl w:val="0"/>
          <w:numId w:val="5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кожна операція з видачі готівкових коштів через </w:t>
      </w:r>
      <w:r w:rsidR="00F6358A">
        <w:rPr>
          <w:rFonts w:ascii="Arial" w:hAnsi="Arial" w:cs="Arial"/>
          <w:sz w:val="22"/>
          <w:szCs w:val="22"/>
          <w:lang w:val="uk-UA"/>
        </w:rPr>
        <w:t>платіжний термінал</w:t>
      </w:r>
      <w:r w:rsidRPr="00030FDD">
        <w:rPr>
          <w:rFonts w:ascii="Arial" w:hAnsi="Arial" w:cs="Arial"/>
          <w:sz w:val="22"/>
          <w:szCs w:val="22"/>
          <w:lang w:val="uk-UA"/>
        </w:rPr>
        <w:t>, встановлений у торг</w:t>
      </w:r>
      <w:r w:rsidR="00493756" w:rsidRPr="00030FDD">
        <w:rPr>
          <w:rFonts w:ascii="Arial" w:hAnsi="Arial" w:cs="Arial"/>
          <w:sz w:val="22"/>
          <w:szCs w:val="22"/>
          <w:lang w:val="uk-UA"/>
        </w:rPr>
        <w:t>о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вельній точці, супроводжується видачою держателю квитанції </w:t>
      </w:r>
      <w:r w:rsidR="00F6358A">
        <w:rPr>
          <w:rFonts w:ascii="Arial" w:hAnsi="Arial" w:cs="Arial"/>
          <w:sz w:val="22"/>
          <w:szCs w:val="22"/>
          <w:lang w:val="uk-UA"/>
        </w:rPr>
        <w:t>платіжного терміналу</w:t>
      </w:r>
      <w:r w:rsidRPr="00030FDD">
        <w:rPr>
          <w:rFonts w:ascii="Arial" w:hAnsi="Arial" w:cs="Arial"/>
          <w:sz w:val="22"/>
          <w:szCs w:val="22"/>
          <w:lang w:val="uk-UA"/>
        </w:rPr>
        <w:t>, що підтверджує факт здійснення операції і містить набір даних щодо цієї операції та реквізити ЕПЗ</w:t>
      </w:r>
      <w:r w:rsidR="00F6358A">
        <w:rPr>
          <w:rFonts w:ascii="Arial" w:hAnsi="Arial" w:cs="Arial"/>
          <w:sz w:val="22"/>
          <w:szCs w:val="22"/>
          <w:lang w:val="uk-UA"/>
        </w:rPr>
        <w:t>;</w:t>
      </w:r>
    </w:p>
    <w:p w:rsidR="00281024" w:rsidRDefault="00F6358A" w:rsidP="004B51F5">
      <w:pPr>
        <w:pStyle w:val="2"/>
        <w:numPr>
          <w:ilvl w:val="0"/>
          <w:numId w:val="5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торговельна точка може встановлювати власні обмеження і додаткові вимоги для здійснення операції</w:t>
      </w:r>
      <w:r w:rsidR="00281024"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EB79F7" w:rsidRPr="00030FDD" w:rsidRDefault="00EB79F7" w:rsidP="00EB79F7">
      <w:pPr>
        <w:spacing w:after="0" w:line="240" w:lineRule="auto"/>
      </w:pPr>
    </w:p>
    <w:p w:rsidR="00EB79F7" w:rsidRPr="00030FDD" w:rsidRDefault="00EB79F7" w:rsidP="00FC6FF7">
      <w:pPr>
        <w:pStyle w:val="aa"/>
        <w:numPr>
          <w:ilvl w:val="0"/>
          <w:numId w:val="3"/>
        </w:numPr>
        <w:tabs>
          <w:tab w:val="left" w:pos="567"/>
        </w:tabs>
        <w:spacing w:after="0"/>
        <w:ind w:left="0" w:right="-1" w:firstLine="0"/>
        <w:rPr>
          <w:rFonts w:ascii="Arial" w:eastAsia="MS Mincho" w:hAnsi="Arial" w:cs="Arial"/>
          <w:b/>
          <w:sz w:val="22"/>
          <w:szCs w:val="22"/>
          <w:lang w:val="uk-UA"/>
        </w:rPr>
      </w:pP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>ОПЛАТА ТОВАРІВ</w:t>
      </w:r>
    </w:p>
    <w:p w:rsidR="00EB79F7" w:rsidRPr="00030FDD" w:rsidRDefault="00EB79F7" w:rsidP="00EB79F7">
      <w:pPr>
        <w:spacing w:after="0" w:line="240" w:lineRule="auto"/>
      </w:pP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З використанням </w:t>
      </w:r>
      <w:r w:rsidR="005A70BB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можна здійснювати операції оплати товарів, робіт </w:t>
      </w:r>
      <w:r w:rsidR="000B1CBC">
        <w:rPr>
          <w:rFonts w:ascii="Arial" w:hAnsi="Arial" w:cs="Arial"/>
          <w:sz w:val="22"/>
          <w:szCs w:val="22"/>
          <w:lang w:val="uk-UA"/>
        </w:rPr>
        <w:t>і</w:t>
      </w:r>
      <w:r w:rsidR="000B1CBC"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послуг </w:t>
      </w:r>
      <w:r w:rsidR="00DD3762" w:rsidRPr="00030FDD">
        <w:rPr>
          <w:rFonts w:ascii="Arial" w:hAnsi="Arial" w:cs="Arial"/>
          <w:sz w:val="22"/>
          <w:szCs w:val="22"/>
          <w:lang w:val="uk-UA"/>
        </w:rPr>
        <w:t xml:space="preserve">(оплата товарів)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як в Україні, так і за її межами, якщо це передбачено умовами використання </w:t>
      </w:r>
      <w:r w:rsidR="005A70BB" w:rsidRPr="00030FDD">
        <w:rPr>
          <w:rFonts w:ascii="Arial" w:hAnsi="Arial" w:cs="Arial"/>
          <w:sz w:val="22"/>
          <w:szCs w:val="22"/>
          <w:lang w:val="uk-UA"/>
        </w:rPr>
        <w:t>обраного ЕПЗ</w:t>
      </w:r>
      <w:r w:rsidR="00F82C26"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67680F" w:rsidRPr="00030FDD" w:rsidRDefault="00433444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Перш ніж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 підписати документ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за операцією з використанням ЕПЗ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(сліп, чек, рахунок тощо), </w:t>
      </w:r>
      <w:r w:rsidR="005A70BB" w:rsidRPr="00030FDD">
        <w:rPr>
          <w:rFonts w:ascii="Arial" w:hAnsi="Arial" w:cs="Arial"/>
          <w:sz w:val="22"/>
          <w:szCs w:val="22"/>
          <w:lang w:val="uk-UA"/>
        </w:rPr>
        <w:t xml:space="preserve">держатель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повинен впевнитись, що у ньому вірно вказаний номер </w:t>
      </w:r>
      <w:r w:rsidR="005A70BB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>,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 та перевірити правильність суми, валюти </w:t>
      </w:r>
      <w:r w:rsidR="005A70BB" w:rsidRPr="00030FDD">
        <w:rPr>
          <w:rFonts w:ascii="Arial" w:hAnsi="Arial" w:cs="Arial"/>
          <w:sz w:val="22"/>
          <w:szCs w:val="22"/>
          <w:lang w:val="uk-UA"/>
        </w:rPr>
        <w:t>і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 дати операції. Держатель несе відповідальність за правильність вказаної в цих документах інформації. Держатель повинен отримати од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ин примірник документа </w:t>
      </w:r>
      <w:r w:rsidR="0067680F" w:rsidRPr="00030FDD">
        <w:rPr>
          <w:rFonts w:ascii="Arial" w:hAnsi="Arial" w:cs="Arial"/>
          <w:sz w:val="22"/>
          <w:szCs w:val="22"/>
          <w:lang w:val="uk-UA"/>
        </w:rPr>
        <w:t>з підписом касира.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Торгові точки, що приймають </w:t>
      </w:r>
      <w:r w:rsidR="005A70BB" w:rsidRPr="00030FDD">
        <w:rPr>
          <w:rFonts w:ascii="Arial" w:hAnsi="Arial" w:cs="Arial"/>
          <w:sz w:val="22"/>
          <w:szCs w:val="22"/>
          <w:lang w:val="uk-UA"/>
        </w:rPr>
        <w:t xml:space="preserve">ЕПЗ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для оплати, мають право вимагати від </w:t>
      </w:r>
      <w:r w:rsidR="005A70BB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>ержателя пред’явлення паспорт</w:t>
      </w:r>
      <w:r w:rsidR="005A70BB" w:rsidRPr="00030FDD">
        <w:rPr>
          <w:rFonts w:ascii="Arial" w:hAnsi="Arial" w:cs="Arial"/>
          <w:sz w:val="22"/>
          <w:szCs w:val="22"/>
          <w:lang w:val="uk-UA"/>
        </w:rPr>
        <w:t>а чи іншого документа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, що посвідчує особу, </w:t>
      </w:r>
      <w:r w:rsidR="00433444" w:rsidRPr="00030FDD">
        <w:rPr>
          <w:rFonts w:ascii="Arial" w:hAnsi="Arial" w:cs="Arial"/>
          <w:sz w:val="22"/>
          <w:szCs w:val="22"/>
          <w:lang w:val="uk-UA"/>
        </w:rPr>
        <w:t>та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повідомлення інформації, що дозволяє ідентифікувати його як законного </w:t>
      </w:r>
      <w:r w:rsidR="005A70BB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>ержателя, а також запропонувати введення ПІН-коду для автори</w:t>
      </w:r>
      <w:r w:rsidR="005A70BB" w:rsidRPr="00030FDD">
        <w:rPr>
          <w:rFonts w:ascii="Arial" w:hAnsi="Arial" w:cs="Arial"/>
          <w:sz w:val="22"/>
          <w:szCs w:val="22"/>
          <w:lang w:val="uk-UA"/>
        </w:rPr>
        <w:t>зації.</w:t>
      </w:r>
    </w:p>
    <w:p w:rsidR="00DD3762" w:rsidRPr="00030FDD" w:rsidRDefault="00DD3762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Якщо оплачений з використанням ЕПЗ товар повернуто або не одержано в повному обсязі, держатель самостійно повинен звернутись в торгов</w:t>
      </w:r>
      <w:r w:rsidR="00433444" w:rsidRPr="00030FDD">
        <w:rPr>
          <w:rFonts w:ascii="Arial" w:hAnsi="Arial" w:cs="Arial"/>
          <w:sz w:val="22"/>
          <w:szCs w:val="22"/>
          <w:lang w:val="uk-UA"/>
        </w:rPr>
        <w:t>ельн</w:t>
      </w:r>
      <w:r w:rsidRPr="00030FDD">
        <w:rPr>
          <w:rFonts w:ascii="Arial" w:hAnsi="Arial" w:cs="Arial"/>
          <w:sz w:val="22"/>
          <w:szCs w:val="22"/>
          <w:lang w:val="uk-UA"/>
        </w:rPr>
        <w:t>у точку, в якій було придбано товар. Працівник торгов</w:t>
      </w:r>
      <w:r w:rsidR="00433444" w:rsidRPr="00030FDD">
        <w:rPr>
          <w:rFonts w:ascii="Arial" w:hAnsi="Arial" w:cs="Arial"/>
          <w:sz w:val="22"/>
          <w:szCs w:val="22"/>
          <w:lang w:val="uk-UA"/>
        </w:rPr>
        <w:t>ельної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точки виписує зворотній (кредитовий) чек/сліп або здійснює операцію за допомогою </w:t>
      </w:r>
      <w:r w:rsidR="00B01F5A">
        <w:rPr>
          <w:rFonts w:ascii="Arial" w:hAnsi="Arial" w:cs="Arial"/>
          <w:sz w:val="22"/>
          <w:szCs w:val="22"/>
          <w:lang w:val="uk-UA"/>
        </w:rPr>
        <w:t xml:space="preserve">платіжного </w:t>
      </w:r>
      <w:r w:rsidRPr="00B01F5A">
        <w:rPr>
          <w:rFonts w:ascii="Arial" w:hAnsi="Arial" w:cs="Arial"/>
          <w:sz w:val="22"/>
          <w:szCs w:val="22"/>
          <w:lang w:val="uk-UA"/>
        </w:rPr>
        <w:t>терміналу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з роздрукуванням чеку. Банк зараховує на рахунок відповідну суму згідно з розрахунковими файлами, отриманими від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процесингового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центру. При неотриманні коштів за кредитним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чеком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>/сліпом протягом 30 днів з дня оформлення кредитного чеку/сліпа, держатель повинен повідомити про це Банк для врегулювання питання з торговою точкою та надати цей кредитний чек/сліп.</w:t>
      </w:r>
    </w:p>
    <w:p w:rsidR="0067680F" w:rsidRPr="00030FDD" w:rsidRDefault="00433444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У разі здійснення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з використанням </w:t>
      </w:r>
      <w:r w:rsidR="005A70BB" w:rsidRPr="00030FDD">
        <w:rPr>
          <w:rFonts w:ascii="Arial" w:hAnsi="Arial" w:cs="Arial"/>
          <w:sz w:val="22"/>
          <w:szCs w:val="22"/>
          <w:lang w:val="uk-UA"/>
        </w:rPr>
        <w:t>ЕПЗ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 операцій оплати товарів</w:t>
      </w:r>
      <w:r w:rsidR="00DD3762"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у мережі Інтернет, за допомогою телефону тощо </w:t>
      </w:r>
      <w:r w:rsidR="005A70BB" w:rsidRPr="00030FDD">
        <w:rPr>
          <w:rFonts w:ascii="Arial" w:hAnsi="Arial" w:cs="Arial"/>
          <w:sz w:val="22"/>
          <w:szCs w:val="22"/>
          <w:lang w:val="uk-UA"/>
        </w:rPr>
        <w:t>д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ержатель має зазначати </w:t>
      </w:r>
      <w:r w:rsidR="005A70BB" w:rsidRPr="00030FDD">
        <w:rPr>
          <w:rFonts w:ascii="Arial" w:hAnsi="Arial" w:cs="Arial"/>
          <w:sz w:val="22"/>
          <w:szCs w:val="22"/>
          <w:lang w:val="uk-UA"/>
        </w:rPr>
        <w:t>р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еквізити </w:t>
      </w:r>
      <w:r w:rsidR="005A70BB" w:rsidRPr="00030FDD">
        <w:rPr>
          <w:rFonts w:ascii="Arial" w:hAnsi="Arial" w:cs="Arial"/>
          <w:sz w:val="22"/>
          <w:szCs w:val="22"/>
          <w:lang w:val="uk-UA"/>
        </w:rPr>
        <w:t>ЕПЗ</w:t>
      </w:r>
      <w:r w:rsidR="0067680F" w:rsidRPr="00030FDD">
        <w:rPr>
          <w:rFonts w:ascii="Arial" w:hAnsi="Arial" w:cs="Arial"/>
          <w:sz w:val="22"/>
          <w:szCs w:val="22"/>
          <w:lang w:val="uk-UA"/>
        </w:rPr>
        <w:t>, а у деяких випадках –</w:t>
      </w:r>
      <w:r w:rsidR="005A70BB" w:rsidRPr="00030FDD">
        <w:rPr>
          <w:rFonts w:ascii="Arial" w:hAnsi="Arial" w:cs="Arial"/>
          <w:sz w:val="22"/>
          <w:szCs w:val="22"/>
          <w:lang w:val="uk-UA"/>
        </w:rPr>
        <w:t xml:space="preserve"> CVV2/СVС2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 код, одноразовий пароль, що надсилається Банком</w:t>
      </w:r>
      <w:r w:rsidR="005A70BB"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EB79F7" w:rsidRPr="00030FDD" w:rsidRDefault="00EB79F7" w:rsidP="00EB79F7">
      <w:pPr>
        <w:spacing w:after="0" w:line="240" w:lineRule="auto"/>
      </w:pPr>
    </w:p>
    <w:p w:rsidR="00EB79F7" w:rsidRPr="00030FDD" w:rsidRDefault="00EB79F7" w:rsidP="00FC6FF7">
      <w:pPr>
        <w:pStyle w:val="aa"/>
        <w:numPr>
          <w:ilvl w:val="0"/>
          <w:numId w:val="3"/>
        </w:numPr>
        <w:tabs>
          <w:tab w:val="left" w:pos="567"/>
        </w:tabs>
        <w:spacing w:after="0"/>
        <w:ind w:left="0" w:right="-1" w:firstLine="0"/>
        <w:rPr>
          <w:rFonts w:ascii="Arial" w:eastAsia="MS Mincho" w:hAnsi="Arial" w:cs="Arial"/>
          <w:b/>
          <w:sz w:val="22"/>
          <w:szCs w:val="22"/>
          <w:lang w:val="uk-UA"/>
        </w:rPr>
      </w:pP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>РЕЗЕРВУВАННЯ І ОПЛАТА ГОТЕЛЮ</w:t>
      </w:r>
    </w:p>
    <w:p w:rsidR="00EB79F7" w:rsidRPr="00030FDD" w:rsidRDefault="00EB79F7" w:rsidP="00EB79F7">
      <w:pPr>
        <w:spacing w:after="0" w:line="240" w:lineRule="auto"/>
      </w:pP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Дл</w:t>
      </w:r>
      <w:r w:rsidR="00DD3762" w:rsidRPr="00030FDD">
        <w:rPr>
          <w:rFonts w:ascii="Arial" w:hAnsi="Arial" w:cs="Arial"/>
          <w:sz w:val="22"/>
          <w:szCs w:val="22"/>
          <w:lang w:val="uk-UA"/>
        </w:rPr>
        <w:t>я резервування номеру в готелі д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ержатель має </w:t>
      </w:r>
      <w:r w:rsidR="00DD3762" w:rsidRPr="00030FDD">
        <w:rPr>
          <w:rFonts w:ascii="Arial" w:hAnsi="Arial" w:cs="Arial"/>
          <w:sz w:val="22"/>
          <w:szCs w:val="22"/>
          <w:lang w:val="uk-UA"/>
        </w:rPr>
        <w:t xml:space="preserve">надати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такі дані: </w:t>
      </w:r>
    </w:p>
    <w:p w:rsidR="0067680F" w:rsidRPr="00030FDD" w:rsidRDefault="004E2831" w:rsidP="004B51F5">
      <w:pPr>
        <w:pStyle w:val="2"/>
        <w:numPr>
          <w:ilvl w:val="0"/>
          <w:numId w:val="7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прізвище, ім’я, по батькова (за наявності)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="00DD3762" w:rsidRPr="00030FDD">
        <w:rPr>
          <w:rFonts w:ascii="Arial" w:hAnsi="Arial" w:cs="Arial"/>
          <w:sz w:val="22"/>
          <w:szCs w:val="22"/>
          <w:lang w:val="uk-UA"/>
        </w:rPr>
        <w:t>д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ержателя; </w:t>
      </w:r>
    </w:p>
    <w:p w:rsidR="0067680F" w:rsidRPr="00030FDD" w:rsidRDefault="0067680F" w:rsidP="004B51F5">
      <w:pPr>
        <w:pStyle w:val="2"/>
        <w:numPr>
          <w:ilvl w:val="0"/>
          <w:numId w:val="7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номер </w:t>
      </w:r>
      <w:r w:rsidR="00DD3762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; </w:t>
      </w:r>
    </w:p>
    <w:p w:rsidR="0067680F" w:rsidRPr="00030FDD" w:rsidRDefault="0067680F" w:rsidP="004B51F5">
      <w:pPr>
        <w:pStyle w:val="2"/>
        <w:numPr>
          <w:ilvl w:val="0"/>
          <w:numId w:val="7"/>
        </w:numPr>
        <w:tabs>
          <w:tab w:val="left" w:pos="993"/>
        </w:tabs>
        <w:spacing w:before="0" w:after="0"/>
        <w:ind w:left="993" w:hanging="426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дату закінчення строку дії </w:t>
      </w:r>
      <w:r w:rsidR="00DD3762" w:rsidRPr="00030FDD">
        <w:rPr>
          <w:rFonts w:ascii="Arial" w:hAnsi="Arial" w:cs="Arial"/>
          <w:sz w:val="22"/>
          <w:szCs w:val="22"/>
          <w:lang w:val="uk-UA"/>
        </w:rPr>
        <w:t>ЕПЗ.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Готель зобов’язаний повідомити номер бронювання (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confirmation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code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>). Держатель має право вимагати від готелю письмового п</w:t>
      </w:r>
      <w:r w:rsidR="00DD3762" w:rsidRPr="00030FDD">
        <w:rPr>
          <w:rFonts w:ascii="Arial" w:hAnsi="Arial" w:cs="Arial"/>
          <w:sz w:val="22"/>
          <w:szCs w:val="22"/>
          <w:lang w:val="uk-UA"/>
        </w:rPr>
        <w:t>ідтвердження бронювання.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Якщо </w:t>
      </w:r>
      <w:r w:rsidR="00DD3762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ержатель не може </w:t>
      </w:r>
      <w:r w:rsidR="00433444" w:rsidRPr="00030FDD">
        <w:rPr>
          <w:rFonts w:ascii="Arial" w:hAnsi="Arial" w:cs="Arial"/>
          <w:sz w:val="22"/>
          <w:szCs w:val="22"/>
          <w:lang w:val="uk-UA"/>
        </w:rPr>
        <w:t>прибути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в обумовлену дату, він зобов’язаний </w:t>
      </w:r>
      <w:r w:rsidR="00EB51FA" w:rsidRPr="00030FDD">
        <w:rPr>
          <w:rFonts w:ascii="Arial" w:hAnsi="Arial" w:cs="Arial"/>
          <w:sz w:val="22"/>
          <w:szCs w:val="22"/>
          <w:lang w:val="uk-UA"/>
        </w:rPr>
        <w:t>скасувати</w:t>
      </w:r>
      <w:r w:rsidR="00DD3762"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Pr="00030FDD">
        <w:rPr>
          <w:rFonts w:ascii="Arial" w:hAnsi="Arial" w:cs="Arial"/>
          <w:sz w:val="22"/>
          <w:szCs w:val="22"/>
          <w:lang w:val="uk-UA"/>
        </w:rPr>
        <w:t>броню</w:t>
      </w:r>
      <w:r w:rsidR="00DD3762" w:rsidRPr="00030FDD">
        <w:rPr>
          <w:rFonts w:ascii="Arial" w:hAnsi="Arial" w:cs="Arial"/>
          <w:sz w:val="22"/>
          <w:szCs w:val="22"/>
          <w:lang w:val="uk-UA"/>
        </w:rPr>
        <w:t>вання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, тобто повідомити про це готель в строки, встановлені готелем, і обов’язково отримати номер </w:t>
      </w:r>
      <w:r w:rsidR="00DD3762" w:rsidRPr="00030FDD">
        <w:rPr>
          <w:rFonts w:ascii="Arial" w:hAnsi="Arial" w:cs="Arial"/>
          <w:sz w:val="22"/>
          <w:szCs w:val="22"/>
          <w:lang w:val="uk-UA"/>
        </w:rPr>
        <w:t xml:space="preserve">скасування </w:t>
      </w:r>
      <w:r w:rsidRPr="00030FDD">
        <w:rPr>
          <w:rFonts w:ascii="Arial" w:hAnsi="Arial" w:cs="Arial"/>
          <w:sz w:val="22"/>
          <w:szCs w:val="22"/>
          <w:lang w:val="uk-UA"/>
        </w:rPr>
        <w:t>замовлення (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cancellation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code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), який необхідно зберігати на випадок виникнення спірного питання. 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Якщо </w:t>
      </w:r>
      <w:r w:rsidR="00DD3762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ержатель не з’являється в готелі в обумовлену дату і не </w:t>
      </w:r>
      <w:r w:rsidR="00DD3762" w:rsidRPr="00030FDD">
        <w:rPr>
          <w:rFonts w:ascii="Arial" w:hAnsi="Arial" w:cs="Arial"/>
          <w:sz w:val="22"/>
          <w:szCs w:val="22"/>
          <w:lang w:val="uk-UA"/>
        </w:rPr>
        <w:t xml:space="preserve">скасовує </w:t>
      </w:r>
      <w:r w:rsidRPr="00030FDD">
        <w:rPr>
          <w:rFonts w:ascii="Arial" w:hAnsi="Arial" w:cs="Arial"/>
          <w:sz w:val="22"/>
          <w:szCs w:val="22"/>
          <w:lang w:val="uk-UA"/>
        </w:rPr>
        <w:t>при цьому броню</w:t>
      </w:r>
      <w:r w:rsidR="00DD3762" w:rsidRPr="00030FDD">
        <w:rPr>
          <w:rFonts w:ascii="Arial" w:hAnsi="Arial" w:cs="Arial"/>
          <w:sz w:val="22"/>
          <w:szCs w:val="22"/>
          <w:lang w:val="uk-UA"/>
        </w:rPr>
        <w:t>вання</w:t>
      </w:r>
      <w:r w:rsidRPr="00030FDD">
        <w:rPr>
          <w:rFonts w:ascii="Arial" w:hAnsi="Arial" w:cs="Arial"/>
          <w:sz w:val="22"/>
          <w:szCs w:val="22"/>
          <w:lang w:val="uk-UA"/>
        </w:rPr>
        <w:t>, готель має право отримати оплату своїх послуг у сумі вартості проживання однієї ночі в готелі (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no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show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) або </w:t>
      </w:r>
      <w:r w:rsidR="00433444" w:rsidRPr="00030FDD">
        <w:rPr>
          <w:rFonts w:ascii="Arial" w:hAnsi="Arial" w:cs="Arial"/>
          <w:sz w:val="22"/>
          <w:szCs w:val="22"/>
          <w:lang w:val="uk-UA"/>
        </w:rPr>
        <w:t xml:space="preserve">в іншій сумі, аж до списання повної вартості </w:t>
      </w:r>
      <w:r w:rsidRPr="00030FDD">
        <w:rPr>
          <w:rFonts w:ascii="Arial" w:hAnsi="Arial" w:cs="Arial"/>
          <w:sz w:val="22"/>
          <w:szCs w:val="22"/>
          <w:lang w:val="uk-UA"/>
        </w:rPr>
        <w:t>бронювання</w:t>
      </w:r>
      <w:r w:rsidR="00DD3762" w:rsidRPr="00030FDD">
        <w:rPr>
          <w:rFonts w:ascii="Arial" w:hAnsi="Arial" w:cs="Arial"/>
          <w:sz w:val="22"/>
          <w:szCs w:val="22"/>
          <w:lang w:val="uk-UA"/>
        </w:rPr>
        <w:t>, залежно від умов бронювання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. </w:t>
      </w:r>
    </w:p>
    <w:p w:rsidR="0067680F" w:rsidRPr="00030FDD" w:rsidRDefault="006B4E46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Під час прибуття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до готелю </w:t>
      </w:r>
      <w:r w:rsidRPr="00030FDD">
        <w:rPr>
          <w:rFonts w:ascii="Arial" w:hAnsi="Arial" w:cs="Arial"/>
          <w:sz w:val="22"/>
          <w:szCs w:val="22"/>
          <w:lang w:val="uk-UA"/>
        </w:rPr>
        <w:t>д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ержателя можуть попросити пред’явити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ЕПЗ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для попередньої </w:t>
      </w:r>
      <w:r w:rsidRPr="00030FDD">
        <w:rPr>
          <w:rFonts w:ascii="Arial" w:hAnsi="Arial" w:cs="Arial"/>
          <w:sz w:val="22"/>
          <w:szCs w:val="22"/>
          <w:lang w:val="uk-UA"/>
        </w:rPr>
        <w:t>а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вторизації. Авторизація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здійснюється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на приблизно розраховану суму вартості послуг готелю. В результаті </w:t>
      </w:r>
      <w:r w:rsidRPr="00030FDD">
        <w:rPr>
          <w:rFonts w:ascii="Arial" w:hAnsi="Arial" w:cs="Arial"/>
          <w:sz w:val="22"/>
          <w:szCs w:val="22"/>
          <w:lang w:val="uk-UA"/>
        </w:rPr>
        <w:t>а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вторизації відбувається блокування цієї суми на </w:t>
      </w:r>
      <w:r w:rsidRPr="00030FDD">
        <w:rPr>
          <w:rFonts w:ascii="Arial" w:hAnsi="Arial" w:cs="Arial"/>
          <w:sz w:val="22"/>
          <w:szCs w:val="22"/>
          <w:lang w:val="uk-UA"/>
        </w:rPr>
        <w:t>рахунку.</w:t>
      </w:r>
    </w:p>
    <w:p w:rsidR="0067680F" w:rsidRPr="00030FDD" w:rsidRDefault="006B4E46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Під час виїзду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з готелю </w:t>
      </w:r>
      <w:r w:rsidRPr="00030FDD">
        <w:rPr>
          <w:rFonts w:ascii="Arial" w:hAnsi="Arial" w:cs="Arial"/>
          <w:sz w:val="22"/>
          <w:szCs w:val="22"/>
          <w:lang w:val="uk-UA"/>
        </w:rPr>
        <w:t>д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ержатель повинен пред’явити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ЕПЗ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для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здійснення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остаточного розрахунку. При цьому необхідно обов’язково нагадати працівнику готелю, що </w:t>
      </w:r>
      <w:r w:rsidRPr="00030FDD">
        <w:rPr>
          <w:rFonts w:ascii="Arial" w:hAnsi="Arial" w:cs="Arial"/>
          <w:sz w:val="22"/>
          <w:szCs w:val="22"/>
          <w:lang w:val="uk-UA"/>
        </w:rPr>
        <w:t>а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вторизація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за ЕПЗ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вже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була здійснена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та попередньо розрахована сума вартості послуг готелю вже заблокована на рахунку. </w:t>
      </w:r>
    </w:p>
    <w:p w:rsidR="0067680F" w:rsidRPr="00030FDD" w:rsidRDefault="006B4E46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П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рацівник готелю зобов’язаний надати </w:t>
      </w:r>
      <w:r w:rsidRPr="00030FDD">
        <w:rPr>
          <w:rFonts w:ascii="Arial" w:hAnsi="Arial" w:cs="Arial"/>
          <w:sz w:val="22"/>
          <w:szCs w:val="22"/>
          <w:lang w:val="uk-UA"/>
        </w:rPr>
        <w:t>д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ержателю </w:t>
      </w:r>
      <w:r w:rsidRPr="00030FDD">
        <w:rPr>
          <w:rFonts w:ascii="Arial" w:hAnsi="Arial" w:cs="Arial"/>
          <w:sz w:val="22"/>
          <w:szCs w:val="22"/>
          <w:lang w:val="uk-UA"/>
        </w:rPr>
        <w:t>с</w:t>
      </w:r>
      <w:r w:rsidR="0067680F" w:rsidRPr="00030FDD">
        <w:rPr>
          <w:rFonts w:ascii="Arial" w:hAnsi="Arial" w:cs="Arial"/>
          <w:sz w:val="22"/>
          <w:szCs w:val="22"/>
          <w:lang w:val="uk-UA"/>
        </w:rPr>
        <w:t>ліп (квитанцію) для підпису</w:t>
      </w:r>
      <w:r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67680F" w:rsidRPr="00030FDD" w:rsidRDefault="006B4E46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П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ісля від’їзду </w:t>
      </w:r>
      <w:r w:rsidRPr="00030FDD">
        <w:rPr>
          <w:rFonts w:ascii="Arial" w:hAnsi="Arial" w:cs="Arial"/>
          <w:sz w:val="22"/>
          <w:szCs w:val="22"/>
          <w:lang w:val="uk-UA"/>
        </w:rPr>
        <w:t>д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ержателя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готель </w:t>
      </w:r>
      <w:r w:rsidR="0067680F" w:rsidRPr="00030FDD">
        <w:rPr>
          <w:rFonts w:ascii="Arial" w:hAnsi="Arial" w:cs="Arial"/>
          <w:sz w:val="22"/>
          <w:szCs w:val="22"/>
          <w:lang w:val="uk-UA"/>
        </w:rPr>
        <w:t>може списати з рахунку плату за додаткові послуги (користування баром, замовлення прання, прасування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та ін.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) або за </w:t>
      </w:r>
      <w:r w:rsidRPr="00030FDD">
        <w:rPr>
          <w:rFonts w:ascii="Arial" w:hAnsi="Arial" w:cs="Arial"/>
          <w:sz w:val="22"/>
          <w:szCs w:val="22"/>
          <w:lang w:val="uk-UA"/>
        </w:rPr>
        <w:t>заподіяну готелю шкоду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,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сума якої </w:t>
      </w:r>
      <w:r w:rsidR="0067680F" w:rsidRPr="00030FDD">
        <w:rPr>
          <w:rFonts w:ascii="Arial" w:hAnsi="Arial" w:cs="Arial"/>
          <w:sz w:val="22"/>
          <w:szCs w:val="22"/>
          <w:lang w:val="uk-UA"/>
        </w:rPr>
        <w:t>не була включена до загального платежу.</w:t>
      </w:r>
    </w:p>
    <w:p w:rsidR="0067680F" w:rsidRPr="00030FDD" w:rsidRDefault="00526C62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Я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кщо остаточно розрахована сума вартості послуг готелю виявилася більшою, ніж заблокована попередньо розрахована сума, на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суму різниці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між ними може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здійснюватися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додаткова </w:t>
      </w:r>
      <w:r w:rsidRPr="00030FDD">
        <w:rPr>
          <w:rFonts w:ascii="Arial" w:hAnsi="Arial" w:cs="Arial"/>
          <w:sz w:val="22"/>
          <w:szCs w:val="22"/>
          <w:lang w:val="uk-UA"/>
        </w:rPr>
        <w:t>а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вторизація. </w:t>
      </w:r>
    </w:p>
    <w:p w:rsidR="00EB79F7" w:rsidRPr="00030FDD" w:rsidRDefault="00EB79F7" w:rsidP="00EB79F7">
      <w:pPr>
        <w:spacing w:after="0" w:line="240" w:lineRule="auto"/>
      </w:pPr>
    </w:p>
    <w:p w:rsidR="00EB79F7" w:rsidRPr="00030FDD" w:rsidRDefault="00FE24B9" w:rsidP="00FC6FF7">
      <w:pPr>
        <w:pStyle w:val="aa"/>
        <w:numPr>
          <w:ilvl w:val="0"/>
          <w:numId w:val="3"/>
        </w:numPr>
        <w:tabs>
          <w:tab w:val="left" w:pos="567"/>
        </w:tabs>
        <w:spacing w:after="0"/>
        <w:ind w:left="0" w:right="-1" w:firstLine="0"/>
        <w:rPr>
          <w:rFonts w:ascii="Arial" w:eastAsia="MS Mincho" w:hAnsi="Arial" w:cs="Arial"/>
          <w:b/>
          <w:sz w:val="22"/>
          <w:szCs w:val="22"/>
          <w:lang w:val="uk-UA"/>
        </w:rPr>
      </w:pP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>ВТРАТА</w:t>
      </w:r>
      <w:r w:rsidR="00EB79F7" w:rsidRPr="00030FDD">
        <w:rPr>
          <w:rFonts w:ascii="Arial" w:eastAsia="MS Mincho" w:hAnsi="Arial" w:cs="Arial"/>
          <w:b/>
          <w:sz w:val="22"/>
          <w:szCs w:val="22"/>
          <w:lang w:val="uk-UA"/>
        </w:rPr>
        <w:t xml:space="preserve"> ЕПЗ</w:t>
      </w:r>
    </w:p>
    <w:p w:rsidR="00EB79F7" w:rsidRPr="00030FDD" w:rsidRDefault="00EB79F7" w:rsidP="00EB79F7">
      <w:pPr>
        <w:spacing w:after="0" w:line="240" w:lineRule="auto"/>
      </w:pP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Держатель зобов’язаний здійснювати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заходи для попередження втрати або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викрадення </w:t>
      </w:r>
      <w:r w:rsidR="001B415F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та ПІН-коду</w:t>
      </w:r>
      <w:r w:rsidR="00B703D4">
        <w:rPr>
          <w:rFonts w:ascii="Arial" w:hAnsi="Arial" w:cs="Arial"/>
          <w:sz w:val="22"/>
          <w:szCs w:val="22"/>
          <w:lang w:val="uk-UA"/>
        </w:rPr>
        <w:t>,</w:t>
      </w:r>
      <w:r w:rsidR="00B703D4" w:rsidRPr="00FD7B03">
        <w:rPr>
          <w:rFonts w:ascii="Arial" w:hAnsi="Arial" w:cs="Arial"/>
          <w:sz w:val="22"/>
          <w:szCs w:val="22"/>
        </w:rPr>
        <w:t xml:space="preserve"> </w:t>
      </w:r>
      <w:r w:rsidR="00B703D4" w:rsidRPr="00387BE8">
        <w:rPr>
          <w:rFonts w:ascii="Arial" w:hAnsi="Arial" w:cs="Arial"/>
          <w:sz w:val="22"/>
          <w:szCs w:val="22"/>
          <w:lang w:val="uk-UA"/>
        </w:rPr>
        <w:t>ре</w:t>
      </w:r>
      <w:r w:rsidR="00387BE8" w:rsidRPr="00387BE8">
        <w:rPr>
          <w:rFonts w:ascii="Arial" w:hAnsi="Arial" w:cs="Arial"/>
          <w:sz w:val="22"/>
          <w:szCs w:val="22"/>
          <w:lang w:val="uk-UA"/>
        </w:rPr>
        <w:t>к</w:t>
      </w:r>
      <w:r w:rsidR="00B703D4" w:rsidRPr="00387BE8">
        <w:rPr>
          <w:rFonts w:ascii="Arial" w:hAnsi="Arial" w:cs="Arial"/>
          <w:sz w:val="22"/>
          <w:szCs w:val="22"/>
          <w:lang w:val="uk-UA"/>
        </w:rPr>
        <w:t>візитів ЕПЗ,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чи їх незаконного використання.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У разі втрати контролю над </w:t>
      </w:r>
      <w:r w:rsidR="001B415F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(неповернення </w:t>
      </w:r>
      <w:r w:rsidR="00433444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банкоматом та інші випадки,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коли держатель </w:t>
      </w:r>
      <w:r w:rsidRPr="00030FDD">
        <w:rPr>
          <w:rFonts w:ascii="Arial" w:hAnsi="Arial" w:cs="Arial"/>
          <w:sz w:val="22"/>
          <w:szCs w:val="22"/>
          <w:lang w:val="uk-UA"/>
        </w:rPr>
        <w:t>не може здійсн</w:t>
      </w:r>
      <w:r w:rsidR="00433444" w:rsidRPr="00030FDD">
        <w:rPr>
          <w:rFonts w:ascii="Arial" w:hAnsi="Arial" w:cs="Arial"/>
          <w:sz w:val="22"/>
          <w:szCs w:val="22"/>
          <w:lang w:val="uk-UA"/>
        </w:rPr>
        <w:t>юва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ти контроль над </w:t>
      </w:r>
      <w:r w:rsidR="001B415F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>), або якщо сторонній особі ста</w:t>
      </w:r>
      <w:r w:rsidR="00433444" w:rsidRPr="00030FDD">
        <w:rPr>
          <w:rFonts w:ascii="Arial" w:hAnsi="Arial" w:cs="Arial"/>
          <w:sz w:val="22"/>
          <w:szCs w:val="22"/>
          <w:lang w:val="uk-UA"/>
        </w:rPr>
        <w:t xml:space="preserve">ли відомі реквізити ЕПЗ або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ПІН-код, </w:t>
      </w:r>
      <w:r w:rsidR="00433444" w:rsidRPr="00030FDD">
        <w:rPr>
          <w:rFonts w:ascii="Arial" w:hAnsi="Arial" w:cs="Arial"/>
          <w:sz w:val="22"/>
          <w:szCs w:val="22"/>
          <w:lang w:val="uk-UA"/>
        </w:rPr>
        <w:t>а також у разі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незаконного </w:t>
      </w:r>
      <w:r w:rsidR="00433444" w:rsidRPr="00030FDD">
        <w:rPr>
          <w:rFonts w:ascii="Arial" w:hAnsi="Arial" w:cs="Arial"/>
          <w:sz w:val="22"/>
          <w:szCs w:val="22"/>
          <w:lang w:val="uk-UA"/>
        </w:rPr>
        <w:t xml:space="preserve">заволодіння (крадіжка тощо) або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використання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ЕПЗ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третіми особами </w:t>
      </w:r>
      <w:r w:rsidR="001B415F" w:rsidRPr="00030FDD">
        <w:rPr>
          <w:rFonts w:ascii="Arial" w:hAnsi="Arial" w:cs="Arial"/>
          <w:sz w:val="22"/>
          <w:szCs w:val="22"/>
          <w:lang w:val="uk-UA"/>
        </w:rPr>
        <w:t>д</w:t>
      </w:r>
      <w:r w:rsidRPr="00030FDD">
        <w:rPr>
          <w:rFonts w:ascii="Arial" w:hAnsi="Arial" w:cs="Arial"/>
          <w:sz w:val="22"/>
          <w:szCs w:val="22"/>
          <w:lang w:val="uk-UA"/>
        </w:rPr>
        <w:t>ержатель зобов’язаний негайно повідомити про це правоохоронні органи (у випа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дку викрадення ЕПЗ) і </w:t>
      </w:r>
      <w:r w:rsidRPr="00030FDD">
        <w:rPr>
          <w:rFonts w:ascii="Arial" w:hAnsi="Arial" w:cs="Arial"/>
          <w:sz w:val="22"/>
          <w:szCs w:val="22"/>
          <w:lang w:val="uk-UA"/>
        </w:rPr>
        <w:t>Банк за контактними номерами телефонів</w:t>
      </w:r>
      <w:r w:rsidR="00136417" w:rsidRPr="00030FDD">
        <w:rPr>
          <w:rFonts w:ascii="Arial" w:hAnsi="Arial" w:cs="Arial"/>
          <w:sz w:val="22"/>
          <w:szCs w:val="22"/>
          <w:lang w:val="uk-UA"/>
        </w:rPr>
        <w:t xml:space="preserve"> Банку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або через систему PRAVEX ONLINE.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Держатель повинен повідомити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Банку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персональні дані, </w:t>
      </w:r>
      <w:r w:rsidR="001B415F" w:rsidRPr="00030FDD">
        <w:rPr>
          <w:rFonts w:ascii="Arial" w:hAnsi="Arial" w:cs="Arial"/>
          <w:sz w:val="22"/>
          <w:szCs w:val="22"/>
          <w:lang w:val="uk-UA"/>
        </w:rPr>
        <w:t>с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лово-пароль, обставини викрадення/втрати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ЕПЗ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та інші дані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на прохання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оператора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і </w:t>
      </w:r>
      <w:r w:rsidRPr="00030FDD">
        <w:rPr>
          <w:rFonts w:ascii="Arial" w:hAnsi="Arial" w:cs="Arial"/>
          <w:sz w:val="22"/>
          <w:szCs w:val="22"/>
          <w:lang w:val="uk-UA"/>
        </w:rPr>
        <w:t>заблокувати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 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.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Держатель може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повідомити Банк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про зазначені обставини і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через чат-бот «ПРАВЕКС БАНК»,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надавши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персональні дані, обставини викрадення/втрати </w:t>
      </w:r>
      <w:r w:rsidR="001B415F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, </w:t>
      </w:r>
      <w:r w:rsidR="001B415F" w:rsidRPr="00030FDD">
        <w:rPr>
          <w:rFonts w:ascii="Arial" w:hAnsi="Arial" w:cs="Arial"/>
          <w:sz w:val="22"/>
          <w:szCs w:val="22"/>
          <w:lang w:val="uk-UA"/>
        </w:rPr>
        <w:t>відомості про населений пункт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, </w:t>
      </w:r>
      <w:r w:rsidR="001B415F" w:rsidRPr="00030FDD">
        <w:rPr>
          <w:rFonts w:ascii="Arial" w:hAnsi="Arial" w:cs="Arial"/>
          <w:sz w:val="22"/>
          <w:szCs w:val="22"/>
          <w:lang w:val="uk-UA"/>
        </w:rPr>
        <w:t>у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кому </w:t>
      </w:r>
      <w:r w:rsidR="001B415F" w:rsidRPr="00030FDD">
        <w:rPr>
          <w:rFonts w:ascii="Arial" w:hAnsi="Arial" w:cs="Arial"/>
          <w:sz w:val="22"/>
          <w:szCs w:val="22"/>
          <w:lang w:val="uk-UA"/>
        </w:rPr>
        <w:t>сталася втрата ЕПЗ</w:t>
      </w:r>
      <w:r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Якщо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ЕПЗ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втрачено за кордоном, </w:t>
      </w:r>
      <w:r w:rsidR="001B415F" w:rsidRPr="00030FDD">
        <w:rPr>
          <w:rFonts w:ascii="Arial" w:hAnsi="Arial" w:cs="Arial"/>
          <w:sz w:val="22"/>
          <w:szCs w:val="22"/>
          <w:lang w:val="uk-UA"/>
        </w:rPr>
        <w:t xml:space="preserve">держатель зобов’язаний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зв'язатися з Банком для </w:t>
      </w:r>
      <w:r w:rsidR="00433444" w:rsidRPr="00030FDD">
        <w:rPr>
          <w:rFonts w:ascii="Arial" w:hAnsi="Arial" w:cs="Arial"/>
          <w:sz w:val="22"/>
          <w:szCs w:val="22"/>
          <w:lang w:val="uk-UA"/>
        </w:rPr>
        <w:t xml:space="preserve">блокування </w:t>
      </w:r>
      <w:r w:rsidR="001B415F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EB79F7" w:rsidRPr="00030FDD" w:rsidRDefault="00EB79F7" w:rsidP="00EB79F7">
      <w:pPr>
        <w:spacing w:after="0" w:line="240" w:lineRule="auto"/>
      </w:pPr>
    </w:p>
    <w:p w:rsidR="00EB79F7" w:rsidRPr="00030FDD" w:rsidRDefault="00EB79F7" w:rsidP="00FC6FF7">
      <w:pPr>
        <w:pStyle w:val="aa"/>
        <w:numPr>
          <w:ilvl w:val="0"/>
          <w:numId w:val="3"/>
        </w:numPr>
        <w:tabs>
          <w:tab w:val="left" w:pos="567"/>
        </w:tabs>
        <w:spacing w:after="0"/>
        <w:ind w:left="0" w:right="-1" w:firstLine="0"/>
        <w:rPr>
          <w:rFonts w:ascii="Arial" w:eastAsia="MS Mincho" w:hAnsi="Arial" w:cs="Arial"/>
          <w:b/>
          <w:sz w:val="22"/>
          <w:szCs w:val="22"/>
          <w:lang w:val="uk-UA"/>
        </w:rPr>
      </w:pP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>КРАЇНИ ПІДВИЩЕНОГО РИЗИКУ</w:t>
      </w:r>
    </w:p>
    <w:p w:rsidR="00EB79F7" w:rsidRPr="00030FDD" w:rsidRDefault="00EB79F7" w:rsidP="00EB79F7">
      <w:pPr>
        <w:spacing w:after="0" w:line="240" w:lineRule="auto"/>
      </w:pP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З метою зниження ризику використання </w:t>
      </w:r>
      <w:r w:rsidR="00A66F8E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у незаконних (шахрайських) цілях, Банк рекомендує </w:t>
      </w:r>
      <w:r w:rsidR="00A66F8E" w:rsidRPr="00030FDD">
        <w:rPr>
          <w:rFonts w:ascii="Arial" w:hAnsi="Arial" w:cs="Arial"/>
          <w:sz w:val="22"/>
          <w:szCs w:val="22"/>
          <w:lang w:val="uk-UA"/>
        </w:rPr>
        <w:t xml:space="preserve">держателю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бути особливо уважним </w:t>
      </w:r>
      <w:r w:rsidR="00A66F8E" w:rsidRPr="00030FDD">
        <w:rPr>
          <w:rFonts w:ascii="Arial" w:hAnsi="Arial" w:cs="Arial"/>
          <w:sz w:val="22"/>
          <w:szCs w:val="22"/>
          <w:lang w:val="uk-UA"/>
        </w:rPr>
        <w:t xml:space="preserve">під час використання ЕПЗ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в країнах, що визнані </w:t>
      </w:r>
      <w:r w:rsidR="00A66F8E" w:rsidRPr="00030FDD">
        <w:rPr>
          <w:rFonts w:ascii="Arial" w:hAnsi="Arial" w:cs="Arial"/>
          <w:sz w:val="22"/>
          <w:szCs w:val="22"/>
          <w:lang w:val="uk-UA"/>
        </w:rPr>
        <w:t xml:space="preserve">платіжними системами </w:t>
      </w:r>
      <w:r w:rsidR="00872BA8" w:rsidRPr="00030FDD">
        <w:rPr>
          <w:rFonts w:ascii="Arial" w:hAnsi="Arial" w:cs="Arial"/>
          <w:sz w:val="22"/>
          <w:szCs w:val="22"/>
          <w:lang w:val="uk-UA"/>
        </w:rPr>
        <w:t xml:space="preserve">або Банком </w:t>
      </w:r>
      <w:r w:rsidR="00A66F8E" w:rsidRPr="00030FDD">
        <w:rPr>
          <w:rFonts w:ascii="Arial" w:hAnsi="Arial" w:cs="Arial"/>
          <w:sz w:val="22"/>
          <w:szCs w:val="22"/>
          <w:lang w:val="uk-UA"/>
        </w:rPr>
        <w:t>країнами підвищеного ризику</w:t>
      </w:r>
      <w:r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Перелік країн підвищеного ризику:</w:t>
      </w:r>
    </w:p>
    <w:p w:rsidR="0067680F" w:rsidRPr="00030FDD" w:rsidRDefault="0067680F" w:rsidP="00A66F8E">
      <w:pPr>
        <w:pStyle w:val="2"/>
        <w:numPr>
          <w:ilvl w:val="0"/>
          <w:numId w:val="0"/>
        </w:numPr>
        <w:spacing w:before="0" w:after="0"/>
        <w:ind w:left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М’янма, Китай, Гвінея, Гонконг, Індонезія, Індія, Корейська народна демократична республіка, Республіка Корея (Південна Корея), Ліберія, Малайзія, Малі, Мавританія, Марокко, Нігерія, Філіппіни, Сінгапур, В’єтнам, Таїланд, Туніс, Тайвань, Камерун, Центральноафриканська Республіка, Чад, Конго, Екваторіальна Гвінея, Габон, Бенін, Буркіна-Фасо, Кот-д’Івуар, Нігер, Сенегал, Того, Бразилія, Туреччина, Сьєрра-Леоне, </w:t>
      </w:r>
      <w:r w:rsidR="002D78D1">
        <w:rPr>
          <w:rFonts w:ascii="Arial" w:hAnsi="Arial" w:cs="Arial"/>
          <w:sz w:val="22"/>
          <w:szCs w:val="22"/>
          <w:lang w:val="uk-UA"/>
        </w:rPr>
        <w:t>Лівія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, Іспанія, Великобританія, </w:t>
      </w:r>
      <w:r w:rsidR="00330369">
        <w:rPr>
          <w:rFonts w:ascii="Arial" w:hAnsi="Arial" w:cs="Arial"/>
          <w:sz w:val="22"/>
          <w:szCs w:val="22"/>
          <w:lang w:val="uk-UA"/>
        </w:rPr>
        <w:t>Південна</w:t>
      </w:r>
      <w:r w:rsidR="00330369"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Pr="00030FDD">
        <w:rPr>
          <w:rFonts w:ascii="Arial" w:hAnsi="Arial" w:cs="Arial"/>
          <w:sz w:val="22"/>
          <w:szCs w:val="22"/>
          <w:lang w:val="uk-UA"/>
        </w:rPr>
        <w:t>Африка, Шрі-Ланка.</w:t>
      </w:r>
    </w:p>
    <w:p w:rsidR="0067680F" w:rsidRPr="00030FDD" w:rsidRDefault="0067680F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Вищезазначений перелік країн підвищеного ризику може змінюватися. Інформацію щодо переліку країн підвищеного ризику та обмежень на використання </w:t>
      </w:r>
      <w:r w:rsidR="00A66F8E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</w:t>
      </w:r>
      <w:r w:rsidR="00A66F8E" w:rsidRPr="00030FDD">
        <w:rPr>
          <w:rFonts w:ascii="Arial" w:hAnsi="Arial" w:cs="Arial"/>
          <w:sz w:val="22"/>
          <w:szCs w:val="22"/>
          <w:lang w:val="uk-UA"/>
        </w:rPr>
        <w:t xml:space="preserve">держатель 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може отримати за контактними номерами телефонів </w:t>
      </w:r>
      <w:r w:rsidR="00136417" w:rsidRPr="00030FDD">
        <w:rPr>
          <w:rFonts w:ascii="Arial" w:hAnsi="Arial" w:cs="Arial"/>
          <w:sz w:val="22"/>
          <w:szCs w:val="22"/>
          <w:lang w:val="uk-UA"/>
        </w:rPr>
        <w:t>Банку</w:t>
      </w:r>
      <w:r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67680F" w:rsidRPr="00030FDD" w:rsidRDefault="00A66F8E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У разі використання ЕПЗ у зазначених країнах Банк рекомендує </w:t>
      </w:r>
      <w:r w:rsidR="0067680F" w:rsidRPr="00030FDD">
        <w:rPr>
          <w:rFonts w:ascii="Arial" w:hAnsi="Arial" w:cs="Arial"/>
          <w:sz w:val="22"/>
          <w:szCs w:val="22"/>
          <w:lang w:val="uk-UA"/>
        </w:rPr>
        <w:t>здійснювати покупки тільки у великих магазинах відомих брендів, а отримувати готівку – у відділеннях всесвітньо відомих банків, аеропортах або готелях міжнародних мереж.</w:t>
      </w:r>
    </w:p>
    <w:p w:rsidR="0067680F" w:rsidRPr="00030FDD" w:rsidRDefault="00872BA8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На період використання ЕПЗ у країнах підвищеного ризику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Банк рекомендує </w:t>
      </w:r>
      <w:r w:rsidR="00A66F8E" w:rsidRPr="00030FDD">
        <w:rPr>
          <w:rFonts w:ascii="Arial" w:hAnsi="Arial" w:cs="Arial"/>
          <w:sz w:val="22"/>
          <w:szCs w:val="22"/>
          <w:lang w:val="uk-UA"/>
        </w:rPr>
        <w:t>у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становити індивідуальні ліміти (нижчі за стандартні), </w:t>
      </w:r>
      <w:r w:rsidR="00A66F8E" w:rsidRPr="00030FDD">
        <w:rPr>
          <w:rFonts w:ascii="Arial" w:hAnsi="Arial" w:cs="Arial"/>
          <w:sz w:val="22"/>
          <w:szCs w:val="22"/>
          <w:lang w:val="uk-UA"/>
        </w:rPr>
        <w:t xml:space="preserve">що відповідали б 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саме </w:t>
      </w:r>
      <w:r w:rsidR="00A66F8E" w:rsidRPr="00030FDD">
        <w:rPr>
          <w:rFonts w:ascii="Arial" w:hAnsi="Arial" w:cs="Arial"/>
          <w:sz w:val="22"/>
          <w:szCs w:val="22"/>
          <w:lang w:val="uk-UA"/>
        </w:rPr>
        <w:t xml:space="preserve">тим </w:t>
      </w:r>
      <w:r w:rsidR="0067680F" w:rsidRPr="00030FDD">
        <w:rPr>
          <w:rFonts w:ascii="Arial" w:hAnsi="Arial" w:cs="Arial"/>
          <w:sz w:val="22"/>
          <w:szCs w:val="22"/>
          <w:lang w:val="uk-UA"/>
        </w:rPr>
        <w:t>сум</w:t>
      </w:r>
      <w:r w:rsidR="00A66F8E" w:rsidRPr="00030FDD">
        <w:rPr>
          <w:rFonts w:ascii="Arial" w:hAnsi="Arial" w:cs="Arial"/>
          <w:sz w:val="22"/>
          <w:szCs w:val="22"/>
          <w:lang w:val="uk-UA"/>
        </w:rPr>
        <w:t>ам</w:t>
      </w:r>
      <w:r w:rsidR="0067680F" w:rsidRPr="00030FDD">
        <w:rPr>
          <w:rFonts w:ascii="Arial" w:hAnsi="Arial" w:cs="Arial"/>
          <w:sz w:val="22"/>
          <w:szCs w:val="22"/>
          <w:lang w:val="uk-UA"/>
        </w:rPr>
        <w:t xml:space="preserve">, які можуть бути використані </w:t>
      </w:r>
      <w:r w:rsidR="00A66F8E" w:rsidRPr="00030FDD">
        <w:rPr>
          <w:rFonts w:ascii="Arial" w:hAnsi="Arial" w:cs="Arial"/>
          <w:sz w:val="22"/>
          <w:szCs w:val="22"/>
          <w:lang w:val="uk-UA"/>
        </w:rPr>
        <w:t>держателем</w:t>
      </w:r>
      <w:r w:rsidR="0067680F"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AB2F15" w:rsidRPr="00030FDD" w:rsidRDefault="00AB2F15" w:rsidP="00AB2F15">
      <w:pPr>
        <w:spacing w:after="0" w:line="240" w:lineRule="auto"/>
      </w:pPr>
      <w:bookmarkStart w:id="0" w:name="_Ref388631615"/>
      <w:bookmarkStart w:id="1" w:name="_Toc88205499"/>
    </w:p>
    <w:p w:rsidR="00EB2DEB" w:rsidRPr="00030FDD" w:rsidRDefault="00EB2DEB" w:rsidP="00FC6FF7">
      <w:pPr>
        <w:pStyle w:val="aa"/>
        <w:numPr>
          <w:ilvl w:val="0"/>
          <w:numId w:val="3"/>
        </w:numPr>
        <w:tabs>
          <w:tab w:val="left" w:pos="567"/>
        </w:tabs>
        <w:spacing w:after="0"/>
        <w:ind w:left="0" w:right="-1" w:firstLine="0"/>
        <w:rPr>
          <w:rFonts w:ascii="Arial" w:eastAsia="MS Mincho" w:hAnsi="Arial" w:cs="Arial"/>
          <w:b/>
          <w:sz w:val="22"/>
          <w:szCs w:val="22"/>
          <w:lang w:val="uk-UA"/>
        </w:rPr>
      </w:pP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>ЛІМІТ</w:t>
      </w:r>
      <w:r w:rsidR="00815ED4" w:rsidRPr="00030FDD">
        <w:rPr>
          <w:rFonts w:ascii="Arial" w:eastAsia="MS Mincho" w:hAnsi="Arial" w:cs="Arial"/>
          <w:b/>
          <w:sz w:val="22"/>
          <w:szCs w:val="22"/>
          <w:lang w:val="uk-UA"/>
        </w:rPr>
        <w:t>И</w:t>
      </w:r>
      <w:r w:rsidRPr="00030FDD">
        <w:rPr>
          <w:rFonts w:ascii="Arial" w:eastAsia="MS Mincho" w:hAnsi="Arial" w:cs="Arial"/>
          <w:b/>
          <w:sz w:val="22"/>
          <w:szCs w:val="22"/>
          <w:lang w:val="uk-UA"/>
        </w:rPr>
        <w:t xml:space="preserve"> ОПЕРАЦІЙ</w:t>
      </w:r>
      <w:bookmarkEnd w:id="0"/>
      <w:bookmarkEnd w:id="1"/>
    </w:p>
    <w:p w:rsidR="00AB2F15" w:rsidRPr="00030FDD" w:rsidRDefault="00AB2F15" w:rsidP="00AB2F15">
      <w:pPr>
        <w:spacing w:after="0" w:line="240" w:lineRule="auto"/>
      </w:pPr>
    </w:p>
    <w:p w:rsidR="00831742" w:rsidRPr="00030FDD" w:rsidRDefault="00831742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З метою зниження ризику шахрайських операцій на ЕПЗ встановлені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авторизаційні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ліміти Банку на суму однієї або всіх трансакцій:</w:t>
      </w:r>
    </w:p>
    <w:p w:rsidR="00831742" w:rsidRPr="00030FDD" w:rsidRDefault="00831742" w:rsidP="004B51F5">
      <w:pPr>
        <w:pStyle w:val="a8"/>
        <w:numPr>
          <w:ilvl w:val="0"/>
          <w:numId w:val="2"/>
        </w:numPr>
        <w:tabs>
          <w:tab w:val="left" w:pos="993"/>
        </w:tabs>
        <w:ind w:left="993" w:hanging="426"/>
        <w:rPr>
          <w:rFonts w:ascii="Arial" w:hAnsi="Arial" w:cs="Arial"/>
          <w:lang w:val="uk-UA"/>
        </w:rPr>
      </w:pPr>
      <w:r w:rsidRPr="00030FDD">
        <w:rPr>
          <w:rFonts w:ascii="Arial" w:hAnsi="Arial" w:cs="Arial"/>
          <w:lang w:val="uk-UA"/>
        </w:rPr>
        <w:t>ліміт</w:t>
      </w:r>
      <w:r w:rsidR="00A72E06" w:rsidRPr="00030FDD">
        <w:rPr>
          <w:rFonts w:ascii="Arial" w:hAnsi="Arial" w:cs="Arial"/>
          <w:lang w:val="uk-UA"/>
        </w:rPr>
        <w:t>и</w:t>
      </w:r>
      <w:r w:rsidRPr="00030FDD">
        <w:rPr>
          <w:rFonts w:ascii="Arial" w:hAnsi="Arial" w:cs="Arial"/>
          <w:lang w:val="uk-UA"/>
        </w:rPr>
        <w:t xml:space="preserve"> </w:t>
      </w:r>
      <w:r w:rsidR="00A72E06" w:rsidRPr="00030FDD">
        <w:rPr>
          <w:rFonts w:ascii="Arial" w:hAnsi="Arial" w:cs="Arial"/>
          <w:lang w:val="uk-UA"/>
        </w:rPr>
        <w:t>за категоріями місць обслуговування ЕПЗ (</w:t>
      </w:r>
      <w:r w:rsidRPr="00030FDD">
        <w:rPr>
          <w:rFonts w:ascii="Arial" w:hAnsi="Arial" w:cs="Arial"/>
          <w:lang w:val="uk-UA"/>
        </w:rPr>
        <w:t>торгов</w:t>
      </w:r>
      <w:r w:rsidR="00C07900" w:rsidRPr="00030FDD">
        <w:rPr>
          <w:rFonts w:ascii="Arial" w:hAnsi="Arial" w:cs="Arial"/>
          <w:lang w:val="uk-UA"/>
        </w:rPr>
        <w:t>ельн</w:t>
      </w:r>
      <w:r w:rsidRPr="00030FDD">
        <w:rPr>
          <w:rFonts w:ascii="Arial" w:hAnsi="Arial" w:cs="Arial"/>
          <w:lang w:val="uk-UA"/>
        </w:rPr>
        <w:t>их точок</w:t>
      </w:r>
      <w:r w:rsidR="00A72E06" w:rsidRPr="00030FDD">
        <w:rPr>
          <w:rFonts w:ascii="Arial" w:hAnsi="Arial" w:cs="Arial"/>
          <w:lang w:val="uk-UA"/>
        </w:rPr>
        <w:t>)</w:t>
      </w:r>
      <w:r w:rsidRPr="00030FDD">
        <w:rPr>
          <w:rFonts w:ascii="Arial" w:hAnsi="Arial" w:cs="Arial"/>
          <w:lang w:val="uk-UA"/>
        </w:rPr>
        <w:t>: зняття готівки, переказ коштів, розрахунки в торгов</w:t>
      </w:r>
      <w:r w:rsidR="00A72E06" w:rsidRPr="00030FDD">
        <w:rPr>
          <w:rFonts w:ascii="Arial" w:hAnsi="Arial" w:cs="Arial"/>
          <w:lang w:val="uk-UA"/>
        </w:rPr>
        <w:t>ельн</w:t>
      </w:r>
      <w:r w:rsidRPr="00030FDD">
        <w:rPr>
          <w:rFonts w:ascii="Arial" w:hAnsi="Arial" w:cs="Arial"/>
          <w:lang w:val="uk-UA"/>
        </w:rPr>
        <w:t xml:space="preserve">ій мережі, </w:t>
      </w:r>
      <w:r w:rsidR="002D78D1">
        <w:rPr>
          <w:rFonts w:ascii="Arial" w:hAnsi="Arial" w:cs="Arial"/>
          <w:lang w:val="uk-UA"/>
        </w:rPr>
        <w:t xml:space="preserve">включаючи </w:t>
      </w:r>
      <w:r w:rsidRPr="00030FDD">
        <w:rPr>
          <w:rFonts w:ascii="Arial" w:hAnsi="Arial" w:cs="Arial"/>
          <w:lang w:val="uk-UA"/>
        </w:rPr>
        <w:t xml:space="preserve">інтернет-розрахунки та розрахунки, пов’язані з телефонними та поштовими замовленнями (МОТО – </w:t>
      </w:r>
      <w:proofErr w:type="spellStart"/>
      <w:r w:rsidRPr="00030FDD">
        <w:rPr>
          <w:rFonts w:ascii="Arial" w:hAnsi="Arial" w:cs="Arial"/>
          <w:lang w:val="uk-UA"/>
        </w:rPr>
        <w:t>mail</w:t>
      </w:r>
      <w:proofErr w:type="spellEnd"/>
      <w:r w:rsidRPr="00030FDD">
        <w:rPr>
          <w:rFonts w:ascii="Arial" w:hAnsi="Arial" w:cs="Arial"/>
          <w:lang w:val="uk-UA"/>
        </w:rPr>
        <w:t xml:space="preserve"> </w:t>
      </w:r>
      <w:proofErr w:type="spellStart"/>
      <w:r w:rsidRPr="00030FDD">
        <w:rPr>
          <w:rFonts w:ascii="Arial" w:hAnsi="Arial" w:cs="Arial"/>
          <w:lang w:val="uk-UA"/>
        </w:rPr>
        <w:t>or</w:t>
      </w:r>
      <w:proofErr w:type="spellEnd"/>
      <w:r w:rsidRPr="00030FDD">
        <w:rPr>
          <w:rFonts w:ascii="Arial" w:hAnsi="Arial" w:cs="Arial"/>
          <w:lang w:val="uk-UA"/>
        </w:rPr>
        <w:t xml:space="preserve"> </w:t>
      </w:r>
      <w:proofErr w:type="spellStart"/>
      <w:r w:rsidR="00A72E06" w:rsidRPr="00030FDD">
        <w:rPr>
          <w:rFonts w:ascii="Arial" w:hAnsi="Arial" w:cs="Arial"/>
          <w:lang w:val="uk-UA"/>
        </w:rPr>
        <w:t>telephone</w:t>
      </w:r>
      <w:proofErr w:type="spellEnd"/>
      <w:r w:rsidR="00A72E06" w:rsidRPr="00030FDD">
        <w:rPr>
          <w:rFonts w:ascii="Arial" w:hAnsi="Arial" w:cs="Arial"/>
          <w:lang w:val="uk-UA"/>
        </w:rPr>
        <w:t xml:space="preserve"> </w:t>
      </w:r>
      <w:proofErr w:type="spellStart"/>
      <w:r w:rsidR="00A72E06" w:rsidRPr="00030FDD">
        <w:rPr>
          <w:rFonts w:ascii="Arial" w:hAnsi="Arial" w:cs="Arial"/>
          <w:lang w:val="uk-UA"/>
        </w:rPr>
        <w:t>order</w:t>
      </w:r>
      <w:proofErr w:type="spellEnd"/>
      <w:r w:rsidR="00A72E06" w:rsidRPr="00030FDD">
        <w:rPr>
          <w:rFonts w:ascii="Arial" w:hAnsi="Arial" w:cs="Arial"/>
          <w:lang w:val="uk-UA"/>
        </w:rPr>
        <w:t xml:space="preserve"> </w:t>
      </w:r>
      <w:proofErr w:type="spellStart"/>
      <w:r w:rsidR="00A72E06" w:rsidRPr="00030FDD">
        <w:rPr>
          <w:rFonts w:ascii="Arial" w:hAnsi="Arial" w:cs="Arial"/>
          <w:lang w:val="uk-UA"/>
        </w:rPr>
        <w:t>transactions</w:t>
      </w:r>
      <w:proofErr w:type="spellEnd"/>
      <w:r w:rsidR="00A72E06" w:rsidRPr="00030FDD">
        <w:rPr>
          <w:rFonts w:ascii="Arial" w:hAnsi="Arial" w:cs="Arial"/>
          <w:lang w:val="uk-UA"/>
        </w:rPr>
        <w:t>);</w:t>
      </w:r>
    </w:p>
    <w:p w:rsidR="00831742" w:rsidRPr="00030FDD" w:rsidRDefault="00831742" w:rsidP="004B51F5">
      <w:pPr>
        <w:pStyle w:val="a8"/>
        <w:numPr>
          <w:ilvl w:val="0"/>
          <w:numId w:val="2"/>
        </w:numPr>
        <w:tabs>
          <w:tab w:val="left" w:pos="993"/>
        </w:tabs>
        <w:ind w:left="993" w:hanging="426"/>
        <w:rPr>
          <w:rFonts w:ascii="Arial" w:hAnsi="Arial" w:cs="Arial"/>
          <w:lang w:val="uk-UA"/>
        </w:rPr>
      </w:pPr>
      <w:r w:rsidRPr="00030FDD">
        <w:rPr>
          <w:rFonts w:ascii="Arial" w:hAnsi="Arial" w:cs="Arial"/>
          <w:lang w:val="uk-UA"/>
        </w:rPr>
        <w:t xml:space="preserve">ліміти в розрізі валют трансакцій – гривні, </w:t>
      </w:r>
      <w:r w:rsidR="00A72E06" w:rsidRPr="00030FDD">
        <w:rPr>
          <w:rFonts w:ascii="Arial" w:hAnsi="Arial" w:cs="Arial"/>
          <w:lang w:val="uk-UA"/>
        </w:rPr>
        <w:t>ризикових валют та інших валют.</w:t>
      </w:r>
    </w:p>
    <w:p w:rsidR="00831742" w:rsidRPr="00030FDD" w:rsidRDefault="00831742" w:rsidP="00A66F8E">
      <w:pPr>
        <w:pStyle w:val="a8"/>
        <w:tabs>
          <w:tab w:val="left" w:pos="993"/>
        </w:tabs>
        <w:ind w:left="993" w:hanging="426"/>
        <w:rPr>
          <w:rFonts w:ascii="Arial" w:hAnsi="Arial" w:cs="Arial"/>
          <w:lang w:val="uk-UA"/>
        </w:rPr>
      </w:pPr>
      <w:r w:rsidRPr="00030FDD">
        <w:rPr>
          <w:rFonts w:ascii="Arial" w:hAnsi="Arial" w:cs="Arial"/>
          <w:lang w:val="uk-UA"/>
        </w:rPr>
        <w:t>До р</w:t>
      </w:r>
      <w:r w:rsidR="00A72E06" w:rsidRPr="00030FDD">
        <w:rPr>
          <w:rFonts w:ascii="Arial" w:hAnsi="Arial" w:cs="Arial"/>
          <w:lang w:val="uk-UA"/>
        </w:rPr>
        <w:t>изикових валют Банком віднесені</w:t>
      </w:r>
      <w:r w:rsidRPr="00030FDD">
        <w:rPr>
          <w:rFonts w:ascii="Arial" w:hAnsi="Arial" w:cs="Arial"/>
          <w:lang w:val="uk-UA"/>
        </w:rPr>
        <w:t xml:space="preserve"> російський рубль, бразильський реал, гонконгський долар, малайзійський </w:t>
      </w:r>
      <w:proofErr w:type="spellStart"/>
      <w:r w:rsidRPr="00030FDD">
        <w:rPr>
          <w:rFonts w:ascii="Arial" w:hAnsi="Arial" w:cs="Arial"/>
          <w:lang w:val="uk-UA"/>
        </w:rPr>
        <w:t>рингіт</w:t>
      </w:r>
      <w:proofErr w:type="spellEnd"/>
      <w:r w:rsidRPr="00030FDD">
        <w:rPr>
          <w:rFonts w:ascii="Arial" w:hAnsi="Arial" w:cs="Arial"/>
          <w:lang w:val="uk-UA"/>
        </w:rPr>
        <w:t xml:space="preserve">, сінгапурський долар, таїландський </w:t>
      </w:r>
      <w:proofErr w:type="spellStart"/>
      <w:r w:rsidRPr="00030FDD">
        <w:rPr>
          <w:rFonts w:ascii="Arial" w:hAnsi="Arial" w:cs="Arial"/>
          <w:lang w:val="uk-UA"/>
        </w:rPr>
        <w:t>бат</w:t>
      </w:r>
      <w:proofErr w:type="spellEnd"/>
      <w:r w:rsidRPr="00030FDD">
        <w:rPr>
          <w:rFonts w:ascii="Arial" w:hAnsi="Arial" w:cs="Arial"/>
          <w:lang w:val="uk-UA"/>
        </w:rPr>
        <w:t>, тайванський долар, індонезійська рупія, індійська рупія. Перелік ризикови</w:t>
      </w:r>
      <w:r w:rsidR="00A72E06" w:rsidRPr="00030FDD">
        <w:rPr>
          <w:rFonts w:ascii="Arial" w:hAnsi="Arial" w:cs="Arial"/>
          <w:lang w:val="uk-UA"/>
        </w:rPr>
        <w:t>х валют може змінюватися Банком;</w:t>
      </w:r>
    </w:p>
    <w:p w:rsidR="00831742" w:rsidRPr="00030FDD" w:rsidRDefault="00831742" w:rsidP="004B51F5">
      <w:pPr>
        <w:pStyle w:val="a8"/>
        <w:numPr>
          <w:ilvl w:val="0"/>
          <w:numId w:val="2"/>
        </w:numPr>
        <w:tabs>
          <w:tab w:val="left" w:pos="993"/>
        </w:tabs>
        <w:ind w:left="993" w:hanging="426"/>
        <w:rPr>
          <w:rFonts w:ascii="Arial" w:hAnsi="Arial" w:cs="Arial"/>
          <w:lang w:val="uk-UA"/>
        </w:rPr>
      </w:pPr>
      <w:r w:rsidRPr="00030FDD">
        <w:rPr>
          <w:rFonts w:ascii="Arial" w:hAnsi="Arial" w:cs="Arial"/>
          <w:lang w:val="uk-UA"/>
        </w:rPr>
        <w:t>ліміти на кількість тран</w:t>
      </w:r>
      <w:r w:rsidR="00A72E06" w:rsidRPr="00030FDD">
        <w:rPr>
          <w:rFonts w:ascii="Arial" w:hAnsi="Arial" w:cs="Arial"/>
          <w:lang w:val="uk-UA"/>
        </w:rPr>
        <w:t>с</w:t>
      </w:r>
      <w:r w:rsidRPr="00030FDD">
        <w:rPr>
          <w:rFonts w:ascii="Arial" w:hAnsi="Arial" w:cs="Arial"/>
          <w:lang w:val="uk-UA"/>
        </w:rPr>
        <w:t xml:space="preserve">акцій </w:t>
      </w:r>
      <w:r w:rsidR="00A72E06" w:rsidRPr="00030FDD">
        <w:rPr>
          <w:rFonts w:ascii="Arial" w:hAnsi="Arial" w:cs="Arial"/>
          <w:lang w:val="uk-UA"/>
        </w:rPr>
        <w:t xml:space="preserve">зі зняття </w:t>
      </w:r>
      <w:r w:rsidRPr="00030FDD">
        <w:rPr>
          <w:rFonts w:ascii="Arial" w:hAnsi="Arial" w:cs="Arial"/>
          <w:lang w:val="uk-UA"/>
        </w:rPr>
        <w:t xml:space="preserve">грошових коштів, </w:t>
      </w:r>
      <w:r w:rsidR="00A72E06" w:rsidRPr="00030FDD">
        <w:rPr>
          <w:rFonts w:ascii="Arial" w:hAnsi="Arial" w:cs="Arial"/>
          <w:lang w:val="uk-UA"/>
        </w:rPr>
        <w:t xml:space="preserve">з </w:t>
      </w:r>
      <w:r w:rsidRPr="00030FDD">
        <w:rPr>
          <w:rFonts w:ascii="Arial" w:hAnsi="Arial" w:cs="Arial"/>
          <w:lang w:val="uk-UA"/>
        </w:rPr>
        <w:t>р</w:t>
      </w:r>
      <w:r w:rsidR="00A72E06" w:rsidRPr="00030FDD">
        <w:rPr>
          <w:rFonts w:ascii="Arial" w:hAnsi="Arial" w:cs="Arial"/>
          <w:lang w:val="uk-UA"/>
        </w:rPr>
        <w:t>озрахунків у</w:t>
      </w:r>
      <w:r w:rsidRPr="00030FDD">
        <w:rPr>
          <w:rFonts w:ascii="Arial" w:hAnsi="Arial" w:cs="Arial"/>
          <w:lang w:val="uk-UA"/>
        </w:rPr>
        <w:t xml:space="preserve"> торгов</w:t>
      </w:r>
      <w:r w:rsidR="00A72E06" w:rsidRPr="00030FDD">
        <w:rPr>
          <w:rFonts w:ascii="Arial" w:hAnsi="Arial" w:cs="Arial"/>
          <w:lang w:val="uk-UA"/>
        </w:rPr>
        <w:t>ельн</w:t>
      </w:r>
      <w:r w:rsidRPr="00030FDD">
        <w:rPr>
          <w:rFonts w:ascii="Arial" w:hAnsi="Arial" w:cs="Arial"/>
          <w:lang w:val="uk-UA"/>
        </w:rPr>
        <w:t xml:space="preserve">ій мережі (у </w:t>
      </w:r>
      <w:proofErr w:type="spellStart"/>
      <w:r w:rsidRPr="00030FDD">
        <w:rPr>
          <w:rFonts w:ascii="Arial" w:hAnsi="Arial" w:cs="Arial"/>
          <w:lang w:val="uk-UA"/>
        </w:rPr>
        <w:t>т.ч</w:t>
      </w:r>
      <w:proofErr w:type="spellEnd"/>
      <w:r w:rsidRPr="00030FDD">
        <w:rPr>
          <w:rFonts w:ascii="Arial" w:hAnsi="Arial" w:cs="Arial"/>
          <w:lang w:val="uk-UA"/>
        </w:rPr>
        <w:t>. інтернет-розрахунки), сумарну кількість тран</w:t>
      </w:r>
      <w:r w:rsidR="00A72E06" w:rsidRPr="00030FDD">
        <w:rPr>
          <w:rFonts w:ascii="Arial" w:hAnsi="Arial" w:cs="Arial"/>
          <w:lang w:val="uk-UA"/>
        </w:rPr>
        <w:t>с</w:t>
      </w:r>
      <w:r w:rsidRPr="00030FDD">
        <w:rPr>
          <w:rFonts w:ascii="Arial" w:hAnsi="Arial" w:cs="Arial"/>
          <w:lang w:val="uk-UA"/>
        </w:rPr>
        <w:t>акцій за визначений період.</w:t>
      </w:r>
    </w:p>
    <w:p w:rsidR="00EB2DEB" w:rsidRPr="00030FDD" w:rsidRDefault="00EB2DEB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Інформацію щодо ризикових валют та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авторизаційних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лімітів Банку </w:t>
      </w:r>
      <w:r w:rsidR="00C07900" w:rsidRPr="00030FDD">
        <w:rPr>
          <w:rFonts w:ascii="Arial" w:hAnsi="Arial" w:cs="Arial"/>
          <w:sz w:val="22"/>
          <w:szCs w:val="22"/>
          <w:lang w:val="uk-UA"/>
        </w:rPr>
        <w:t>держатель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може отримати, звернувшись до Банку особисто або за контактними номерами телефонів </w:t>
      </w:r>
      <w:r w:rsidR="00136417" w:rsidRPr="00030FDD">
        <w:rPr>
          <w:rFonts w:ascii="Arial" w:hAnsi="Arial" w:cs="Arial"/>
          <w:sz w:val="22"/>
          <w:szCs w:val="22"/>
          <w:lang w:val="uk-UA"/>
        </w:rPr>
        <w:t>Банку</w:t>
      </w:r>
      <w:r w:rsidRPr="00030FDD">
        <w:rPr>
          <w:rFonts w:ascii="Arial" w:hAnsi="Arial" w:cs="Arial"/>
          <w:sz w:val="22"/>
          <w:szCs w:val="22"/>
          <w:lang w:val="uk-UA"/>
        </w:rPr>
        <w:t>.</w:t>
      </w:r>
    </w:p>
    <w:p w:rsidR="00C07900" w:rsidRPr="00030FDD" w:rsidRDefault="00EB2DEB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Надання </w:t>
      </w:r>
      <w:r w:rsidR="00C07900" w:rsidRPr="00030FDD">
        <w:rPr>
          <w:rFonts w:ascii="Arial" w:hAnsi="Arial" w:cs="Arial"/>
          <w:sz w:val="22"/>
          <w:szCs w:val="22"/>
          <w:lang w:val="uk-UA"/>
        </w:rPr>
        <w:t>держателю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послуги встановлення/зміни індивідуальних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авторизаційних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лімітів/</w:t>
      </w:r>
      <w:r w:rsidR="00A72E06" w:rsidRPr="00030FDD">
        <w:rPr>
          <w:rFonts w:ascii="Arial" w:hAnsi="Arial" w:cs="Arial"/>
          <w:sz w:val="22"/>
          <w:szCs w:val="22"/>
          <w:lang w:val="uk-UA"/>
        </w:rPr>
        <w:t>скасування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перевірки </w:t>
      </w:r>
      <w:r w:rsidR="005E1E9D" w:rsidRPr="00030FDD">
        <w:rPr>
          <w:rFonts w:ascii="Arial" w:hAnsi="Arial" w:cs="Arial"/>
          <w:sz w:val="22"/>
          <w:szCs w:val="22"/>
          <w:lang w:val="uk-UA"/>
        </w:rPr>
        <w:t xml:space="preserve">коду </w:t>
      </w:r>
      <w:r w:rsidRPr="00030FDD">
        <w:rPr>
          <w:rFonts w:ascii="Arial" w:hAnsi="Arial" w:cs="Arial"/>
          <w:sz w:val="22"/>
          <w:szCs w:val="22"/>
          <w:lang w:val="uk-UA"/>
        </w:rPr>
        <w:t>CVC2</w:t>
      </w:r>
      <w:r w:rsidR="005E1E9D" w:rsidRPr="00030FDD">
        <w:rPr>
          <w:rFonts w:ascii="Arial" w:hAnsi="Arial" w:cs="Arial"/>
          <w:sz w:val="22"/>
          <w:szCs w:val="22"/>
          <w:lang w:val="uk-UA"/>
        </w:rPr>
        <w:t>/CVV2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за </w:t>
      </w:r>
      <w:r w:rsidR="00A72E06" w:rsidRPr="00030FDD">
        <w:rPr>
          <w:rFonts w:ascii="Arial" w:hAnsi="Arial" w:cs="Arial"/>
          <w:sz w:val="22"/>
          <w:szCs w:val="22"/>
          <w:lang w:val="uk-UA"/>
        </w:rPr>
        <w:t>ЕПЗ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здійснюється Банком при звернені </w:t>
      </w:r>
      <w:r w:rsidR="00C07900" w:rsidRPr="00030FDD">
        <w:rPr>
          <w:rFonts w:ascii="Arial" w:hAnsi="Arial" w:cs="Arial"/>
          <w:sz w:val="22"/>
          <w:szCs w:val="22"/>
          <w:lang w:val="uk-UA"/>
        </w:rPr>
        <w:t>держателя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до Банку </w:t>
      </w:r>
      <w:r w:rsidR="00C07900" w:rsidRPr="00030FDD">
        <w:rPr>
          <w:rFonts w:ascii="Arial" w:hAnsi="Arial" w:cs="Arial"/>
          <w:sz w:val="22"/>
          <w:szCs w:val="22"/>
          <w:lang w:val="uk-UA"/>
        </w:rPr>
        <w:t>за контактними номерами телефонів Банку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, через систему дистанційного обслуговування PRAVEX ONLINE, через чат-бот «ПРАВЕКС БАНК» або особисто до відділення Банку. VIP-Клієнти можуть змінити </w:t>
      </w:r>
      <w:proofErr w:type="spellStart"/>
      <w:r w:rsidRPr="00030FDD">
        <w:rPr>
          <w:rFonts w:ascii="Arial" w:hAnsi="Arial" w:cs="Arial"/>
          <w:sz w:val="22"/>
          <w:szCs w:val="22"/>
          <w:lang w:val="uk-UA"/>
        </w:rPr>
        <w:t>авторизаційні</w:t>
      </w:r>
      <w:proofErr w:type="spellEnd"/>
      <w:r w:rsidRPr="00030FDD">
        <w:rPr>
          <w:rFonts w:ascii="Arial" w:hAnsi="Arial" w:cs="Arial"/>
          <w:sz w:val="22"/>
          <w:szCs w:val="22"/>
          <w:lang w:val="uk-UA"/>
        </w:rPr>
        <w:t xml:space="preserve"> ліміти, звертаючись також через </w:t>
      </w:r>
      <w:r w:rsidR="002D78D1">
        <w:rPr>
          <w:rFonts w:ascii="Arial" w:hAnsi="Arial" w:cs="Arial"/>
          <w:sz w:val="22"/>
          <w:szCs w:val="22"/>
          <w:lang w:val="uk-UA"/>
        </w:rPr>
        <w:t>п</w:t>
      </w:r>
      <w:r w:rsidR="002D78D1" w:rsidRPr="00030FDD">
        <w:rPr>
          <w:rFonts w:ascii="Arial" w:hAnsi="Arial" w:cs="Arial"/>
          <w:sz w:val="22"/>
          <w:szCs w:val="22"/>
          <w:lang w:val="uk-UA"/>
        </w:rPr>
        <w:t xml:space="preserve">ерсонального </w:t>
      </w:r>
      <w:r w:rsidRPr="00030FDD">
        <w:rPr>
          <w:rFonts w:ascii="Arial" w:hAnsi="Arial" w:cs="Arial"/>
          <w:sz w:val="22"/>
          <w:szCs w:val="22"/>
          <w:lang w:val="uk-UA"/>
        </w:rPr>
        <w:t>менеджера.</w:t>
      </w:r>
    </w:p>
    <w:p w:rsidR="00EB2DEB" w:rsidRPr="00030FDD" w:rsidRDefault="00477805" w:rsidP="004B51F5">
      <w:pPr>
        <w:pStyle w:val="2"/>
        <w:numPr>
          <w:ilvl w:val="1"/>
          <w:numId w:val="3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 xml:space="preserve">Термін, на який можуть бути змінені стандартні ліміти Банку, – від 1 календарного дня. </w:t>
      </w:r>
      <w:r w:rsidR="00EB2DEB" w:rsidRPr="00030FDD">
        <w:rPr>
          <w:rFonts w:ascii="Arial" w:hAnsi="Arial" w:cs="Arial"/>
          <w:sz w:val="22"/>
          <w:szCs w:val="22"/>
          <w:lang w:val="uk-UA"/>
        </w:rPr>
        <w:t>Максимальний термін, на який можуть бути змінені стандартні ліміти Банку</w:t>
      </w:r>
      <w:r w:rsidRPr="00030FDD">
        <w:rPr>
          <w:rFonts w:ascii="Arial" w:hAnsi="Arial" w:cs="Arial"/>
          <w:sz w:val="22"/>
          <w:szCs w:val="22"/>
          <w:lang w:val="uk-UA"/>
        </w:rPr>
        <w:t>,</w:t>
      </w:r>
      <w:r w:rsidR="00EB2DEB" w:rsidRPr="00030FDD">
        <w:rPr>
          <w:rFonts w:ascii="Arial" w:hAnsi="Arial" w:cs="Arial"/>
          <w:sz w:val="22"/>
          <w:szCs w:val="22"/>
          <w:lang w:val="uk-UA"/>
        </w:rPr>
        <w:t xml:space="preserve"> – до кінця </w:t>
      </w:r>
      <w:r w:rsidR="00A72E06" w:rsidRPr="00030FDD">
        <w:rPr>
          <w:rFonts w:ascii="Arial" w:hAnsi="Arial" w:cs="Arial"/>
          <w:sz w:val="22"/>
          <w:szCs w:val="22"/>
          <w:lang w:val="uk-UA"/>
        </w:rPr>
        <w:t>строку</w:t>
      </w:r>
      <w:r w:rsidR="00EB2DEB" w:rsidRPr="00030FDD">
        <w:rPr>
          <w:rFonts w:ascii="Arial" w:hAnsi="Arial" w:cs="Arial"/>
          <w:sz w:val="22"/>
          <w:szCs w:val="22"/>
          <w:lang w:val="uk-UA"/>
        </w:rPr>
        <w:t xml:space="preserve"> дії </w:t>
      </w:r>
      <w:r w:rsidR="00A72E06" w:rsidRPr="00030FDD">
        <w:rPr>
          <w:rFonts w:ascii="Arial" w:hAnsi="Arial" w:cs="Arial"/>
          <w:sz w:val="22"/>
          <w:szCs w:val="22"/>
          <w:lang w:val="uk-UA"/>
        </w:rPr>
        <w:t>ЕПЗ</w:t>
      </w:r>
      <w:r w:rsidR="00EB2DEB" w:rsidRPr="00030FDD">
        <w:rPr>
          <w:rFonts w:ascii="Arial" w:hAnsi="Arial" w:cs="Arial"/>
          <w:sz w:val="22"/>
          <w:szCs w:val="22"/>
          <w:lang w:val="uk-UA"/>
        </w:rPr>
        <w:t>.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Послуги можуть тарифікуватися. </w:t>
      </w:r>
    </w:p>
    <w:p w:rsidR="0067680F" w:rsidRPr="00030FDD" w:rsidRDefault="0067680F" w:rsidP="00A72E06">
      <w:pPr>
        <w:spacing w:after="0" w:line="240" w:lineRule="auto"/>
      </w:pPr>
    </w:p>
    <w:p w:rsidR="00910BA8" w:rsidRPr="00030FDD" w:rsidRDefault="00910BA8">
      <w:r w:rsidRPr="00030FDD">
        <w:br w:type="page"/>
      </w:r>
    </w:p>
    <w:p w:rsidR="00910BA8" w:rsidRPr="00030FDD" w:rsidRDefault="00910BA8" w:rsidP="00910BA8">
      <w:pPr>
        <w:pStyle w:val="2"/>
        <w:numPr>
          <w:ilvl w:val="0"/>
          <w:numId w:val="0"/>
        </w:numPr>
        <w:spacing w:before="0" w:after="0"/>
        <w:ind w:left="4678"/>
        <w:jc w:val="left"/>
        <w:rPr>
          <w:rFonts w:ascii="Arial" w:hAnsi="Arial" w:cs="Arial"/>
          <w:sz w:val="22"/>
          <w:szCs w:val="22"/>
          <w:lang w:val="uk-UA"/>
        </w:rPr>
      </w:pPr>
      <w:bookmarkStart w:id="2" w:name="_Додаток_24:_Умови"/>
      <w:bookmarkStart w:id="3" w:name="_Toc88205540"/>
      <w:bookmarkEnd w:id="2"/>
      <w:r w:rsidRPr="00030FDD">
        <w:rPr>
          <w:rFonts w:ascii="Arial" w:hAnsi="Arial" w:cs="Arial"/>
          <w:sz w:val="22"/>
          <w:szCs w:val="22"/>
          <w:lang w:val="uk-UA"/>
        </w:rPr>
        <w:t>Додаток</w:t>
      </w:r>
      <w:r w:rsidRPr="00030FDD">
        <w:rPr>
          <w:rFonts w:ascii="Arial" w:hAnsi="Arial" w:cs="Arial"/>
          <w:sz w:val="22"/>
          <w:szCs w:val="22"/>
          <w:lang w:val="uk-UA"/>
        </w:rPr>
        <w:br/>
        <w:t>до Правил користування електронним платіжним засобом</w:t>
      </w:r>
    </w:p>
    <w:bookmarkEnd w:id="3"/>
    <w:p w:rsidR="00910BA8" w:rsidRPr="00030FDD" w:rsidRDefault="00910BA8" w:rsidP="00910BA8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910BA8" w:rsidRPr="00030FDD" w:rsidRDefault="00910BA8" w:rsidP="00910BA8">
      <w:pPr>
        <w:pStyle w:val="af"/>
        <w:tabs>
          <w:tab w:val="left" w:pos="0"/>
        </w:tabs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color w:val="auto"/>
          <w:sz w:val="22"/>
          <w:szCs w:val="22"/>
          <w:lang w:val="uk-UA"/>
        </w:rPr>
        <w:t>УМОВИ ВИКОРИСТАННЯ</w:t>
      </w:r>
      <w:r w:rsidR="00FC6FF7" w:rsidRPr="00030FDD">
        <w:rPr>
          <w:rFonts w:ascii="Arial" w:hAnsi="Arial" w:cs="Arial"/>
          <w:color w:val="auto"/>
          <w:sz w:val="22"/>
          <w:szCs w:val="22"/>
          <w:lang w:val="uk-UA"/>
        </w:rPr>
        <w:br/>
        <w:t>ЕЛЕКТРОННОГО ПЛАТІЖНОГО ЗАСОБУ</w:t>
      </w:r>
      <w:r w:rsidR="00FC6FF7" w:rsidRPr="00030FDD">
        <w:rPr>
          <w:rFonts w:ascii="Arial" w:hAnsi="Arial" w:cs="Arial"/>
          <w:color w:val="auto"/>
          <w:sz w:val="22"/>
          <w:szCs w:val="22"/>
          <w:lang w:val="uk-UA"/>
        </w:rPr>
        <w:br/>
        <w:t>У МОБІЛЬНОМУ ГАМАНЦІ</w:t>
      </w:r>
    </w:p>
    <w:p w:rsidR="00910BA8" w:rsidRPr="00030FDD" w:rsidRDefault="00910BA8" w:rsidP="00910BA8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910BA8" w:rsidRPr="00030FDD" w:rsidRDefault="00FC6FF7" w:rsidP="00FC6FF7">
      <w:pPr>
        <w:pStyle w:val="af"/>
        <w:numPr>
          <w:ilvl w:val="0"/>
          <w:numId w:val="10"/>
        </w:numPr>
        <w:tabs>
          <w:tab w:val="left" w:pos="567"/>
        </w:tabs>
        <w:spacing w:before="0" w:line="240" w:lineRule="auto"/>
        <w:ind w:left="0" w:firstLine="0"/>
        <w:jc w:val="center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color w:val="auto"/>
          <w:sz w:val="22"/>
          <w:szCs w:val="22"/>
          <w:lang w:val="uk-UA"/>
        </w:rPr>
        <w:t>ЗАГАЛЬНІ ПОЛОЖЕННЯ</w:t>
      </w:r>
    </w:p>
    <w:p w:rsidR="00FC6FF7" w:rsidRPr="00030FDD" w:rsidRDefault="00FC6FF7" w:rsidP="00FC6FF7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910BA8" w:rsidRPr="00030FDD" w:rsidRDefault="00910BA8" w:rsidP="00FC6FF7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Ці Умови </w:t>
      </w:r>
      <w:r w:rsidR="00FC6FF7" w:rsidRPr="00030FDD">
        <w:rPr>
          <w:rFonts w:ascii="Arial" w:hAnsi="Arial" w:cs="Arial"/>
          <w:sz w:val="22"/>
          <w:szCs w:val="22"/>
          <w:lang w:val="uk-UA"/>
        </w:rPr>
        <w:t xml:space="preserve">установлюють окремі </w:t>
      </w:r>
      <w:r w:rsidR="00075860" w:rsidRPr="00030FDD">
        <w:rPr>
          <w:rFonts w:ascii="Arial" w:hAnsi="Arial" w:cs="Arial"/>
          <w:sz w:val="22"/>
          <w:szCs w:val="22"/>
          <w:lang w:val="uk-UA"/>
        </w:rPr>
        <w:t xml:space="preserve">технічні </w:t>
      </w:r>
      <w:r w:rsidR="00FC6FF7" w:rsidRPr="00030FDD">
        <w:rPr>
          <w:rFonts w:ascii="Arial" w:hAnsi="Arial" w:cs="Arial"/>
          <w:sz w:val="22"/>
          <w:szCs w:val="22"/>
          <w:lang w:val="uk-UA"/>
        </w:rPr>
        <w:t>вимоги і порядок використання ЕПЗ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 w:rsidR="001F4AE6" w:rsidRPr="00030FDD">
        <w:rPr>
          <w:rFonts w:ascii="Arial" w:hAnsi="Arial" w:cs="Arial"/>
          <w:color w:val="auto"/>
          <w:sz w:val="22"/>
          <w:szCs w:val="22"/>
          <w:lang w:val="uk-UA"/>
        </w:rPr>
        <w:t>у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 w:rsidR="00FC6FF7" w:rsidRPr="00030FDD">
        <w:rPr>
          <w:rFonts w:ascii="Arial" w:hAnsi="Arial" w:cs="Arial"/>
          <w:color w:val="auto"/>
          <w:sz w:val="22"/>
          <w:szCs w:val="22"/>
          <w:lang w:val="uk-UA"/>
        </w:rPr>
        <w:t>мобільному гаманці.</w:t>
      </w:r>
    </w:p>
    <w:p w:rsidR="00FC6FF7" w:rsidRPr="00030FDD" w:rsidRDefault="00FC6FF7" w:rsidP="00FC6FF7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Умови цих Правил застосовуються додатково до Договору, в межах якого Банк здійснює ведення рахунку Клієнта та емісію ЕПЗ.</w:t>
      </w:r>
    </w:p>
    <w:p w:rsidR="00FC6FF7" w:rsidRPr="00030FDD" w:rsidRDefault="00FC6FF7" w:rsidP="00FC6FF7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Якщо умови цих Правил суперечать умовам Договору, перевагу мають умови Договору.</w:t>
      </w:r>
    </w:p>
    <w:p w:rsidR="00490901" w:rsidRPr="00030FDD" w:rsidRDefault="00490901" w:rsidP="00490901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sz w:val="22"/>
          <w:szCs w:val="22"/>
          <w:lang w:val="uk-UA"/>
        </w:rPr>
        <w:t>На сайті Банку можуть розміщуватися додаткові матеріали, вимоги і рекомендації з питань користування ЕПЗ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 w:rsidR="001F4AE6" w:rsidRPr="00030FDD">
        <w:rPr>
          <w:rFonts w:ascii="Arial" w:hAnsi="Arial" w:cs="Arial"/>
          <w:color w:val="auto"/>
          <w:sz w:val="22"/>
          <w:szCs w:val="22"/>
          <w:lang w:val="uk-UA"/>
        </w:rPr>
        <w:t>у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мобільному гаманці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. Банк рекомендує Клієнту </w:t>
      </w:r>
      <w:r w:rsidR="001F4AE6" w:rsidRPr="00030FDD">
        <w:rPr>
          <w:rFonts w:ascii="Arial" w:hAnsi="Arial" w:cs="Arial"/>
          <w:sz w:val="22"/>
          <w:szCs w:val="22"/>
          <w:lang w:val="uk-UA"/>
        </w:rPr>
        <w:t xml:space="preserve">і держателю </w:t>
      </w:r>
      <w:r w:rsidRPr="00030FDD">
        <w:rPr>
          <w:rFonts w:ascii="Arial" w:hAnsi="Arial" w:cs="Arial"/>
          <w:sz w:val="22"/>
          <w:szCs w:val="22"/>
          <w:lang w:val="uk-UA"/>
        </w:rPr>
        <w:t>регулярно ознайомлюватися з такою додатковою інформацією.</w:t>
      </w:r>
    </w:p>
    <w:p w:rsidR="00910BA8" w:rsidRPr="00B74B49" w:rsidRDefault="00030FDD" w:rsidP="00FC6FF7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B74B49">
        <w:rPr>
          <w:rFonts w:ascii="Arial" w:hAnsi="Arial" w:cs="Arial"/>
          <w:color w:val="auto"/>
          <w:sz w:val="22"/>
          <w:szCs w:val="22"/>
          <w:lang w:val="uk-UA"/>
        </w:rPr>
        <w:t>Сервіс-провайдер, о</w:t>
      </w:r>
      <w:r w:rsidR="00910BA8" w:rsidRPr="00B74B49">
        <w:rPr>
          <w:rFonts w:ascii="Arial" w:hAnsi="Arial" w:cs="Arial"/>
          <w:color w:val="auto"/>
          <w:sz w:val="22"/>
          <w:szCs w:val="22"/>
          <w:lang w:val="uk-UA"/>
        </w:rPr>
        <w:t>ператор мобільного</w:t>
      </w:r>
      <w:r w:rsidRPr="00B74B49">
        <w:rPr>
          <w:rFonts w:ascii="Arial" w:hAnsi="Arial" w:cs="Arial"/>
          <w:color w:val="auto"/>
          <w:sz w:val="22"/>
          <w:szCs w:val="22"/>
          <w:lang w:val="uk-UA"/>
        </w:rPr>
        <w:t xml:space="preserve"> зв’язку</w:t>
      </w:r>
      <w:r w:rsidR="00910BA8" w:rsidRPr="00B74B49">
        <w:rPr>
          <w:rFonts w:ascii="Arial" w:hAnsi="Arial" w:cs="Arial"/>
          <w:color w:val="auto"/>
          <w:sz w:val="22"/>
          <w:szCs w:val="22"/>
          <w:lang w:val="uk-UA"/>
        </w:rPr>
        <w:t xml:space="preserve"> та інші постачальники послуг</w:t>
      </w:r>
      <w:r w:rsidR="001F4AE6" w:rsidRPr="00B74B49">
        <w:rPr>
          <w:rFonts w:ascii="Arial" w:hAnsi="Arial" w:cs="Arial"/>
          <w:color w:val="auto"/>
          <w:sz w:val="22"/>
          <w:szCs w:val="22"/>
          <w:lang w:val="uk-UA"/>
        </w:rPr>
        <w:t>, власники сайтів</w:t>
      </w:r>
      <w:r w:rsidR="00910BA8" w:rsidRPr="00B74B49">
        <w:rPr>
          <w:rFonts w:ascii="Arial" w:hAnsi="Arial" w:cs="Arial"/>
          <w:color w:val="auto"/>
          <w:sz w:val="22"/>
          <w:szCs w:val="22"/>
          <w:lang w:val="uk-UA"/>
        </w:rPr>
        <w:t xml:space="preserve"> можуть встановлювати власні умови та політику конфіденційності</w:t>
      </w:r>
      <w:r w:rsidRPr="00B74B49">
        <w:rPr>
          <w:rFonts w:ascii="Arial" w:hAnsi="Arial" w:cs="Arial"/>
          <w:color w:val="auto"/>
          <w:sz w:val="22"/>
          <w:szCs w:val="22"/>
          <w:lang w:val="uk-UA"/>
        </w:rPr>
        <w:t xml:space="preserve"> (договори з третіми особами), що застосовуються у відносинах із держателем у разі використання мобільного гаманця.</w:t>
      </w:r>
      <w:r w:rsidR="00B74B49" w:rsidRPr="00B74B49">
        <w:rPr>
          <w:rFonts w:ascii="Arial" w:hAnsi="Arial" w:cs="Arial"/>
          <w:color w:val="auto"/>
          <w:sz w:val="22"/>
          <w:szCs w:val="22"/>
          <w:lang w:val="uk-UA"/>
        </w:rPr>
        <w:t xml:space="preserve"> Клієнт зобов'язаний ознайомитися з цими умовами і політиками до створення, активації або використання цифрової картки</w:t>
      </w:r>
      <w:r w:rsidR="00820E6A">
        <w:rPr>
          <w:rFonts w:ascii="Arial" w:hAnsi="Arial" w:cs="Arial"/>
          <w:color w:val="auto"/>
          <w:sz w:val="22"/>
          <w:szCs w:val="22"/>
          <w:lang w:val="uk-UA"/>
        </w:rPr>
        <w:t xml:space="preserve"> і дотримуватися їх</w:t>
      </w:r>
      <w:r w:rsidR="00B74B49" w:rsidRPr="00B74B49">
        <w:rPr>
          <w:rFonts w:ascii="Arial" w:hAnsi="Arial" w:cs="Arial"/>
          <w:color w:val="auto"/>
          <w:sz w:val="22"/>
          <w:szCs w:val="22"/>
          <w:lang w:val="uk-UA"/>
        </w:rPr>
        <w:t>.</w:t>
      </w:r>
    </w:p>
    <w:p w:rsidR="00030FDD" w:rsidRPr="00922E0D" w:rsidRDefault="00030FDD" w:rsidP="00FC6FF7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922E0D">
        <w:rPr>
          <w:rFonts w:ascii="Arial" w:hAnsi="Arial" w:cs="Arial"/>
          <w:color w:val="auto"/>
          <w:sz w:val="22"/>
          <w:szCs w:val="22"/>
          <w:lang w:val="uk-UA"/>
        </w:rPr>
        <w:t>У цих Умовах терміни мають такі значення:</w:t>
      </w:r>
    </w:p>
    <w:p w:rsidR="00030FDD" w:rsidRPr="00922E0D" w:rsidRDefault="00922E0D" w:rsidP="00030FDD">
      <w:pPr>
        <w:pStyle w:val="Default"/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proofErr w:type="spellStart"/>
      <w:r>
        <w:rPr>
          <w:rFonts w:ascii="Arial" w:hAnsi="Arial" w:cs="Arial"/>
          <w:b/>
          <w:bCs/>
          <w:color w:val="auto"/>
          <w:sz w:val="22"/>
          <w:szCs w:val="22"/>
          <w:lang w:val="uk-UA"/>
        </w:rPr>
        <w:t>авте</w:t>
      </w:r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>нтифікаційні</w:t>
      </w:r>
      <w:proofErr w:type="spellEnd"/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 дані –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пароль </w:t>
      </w:r>
      <w:r>
        <w:rPr>
          <w:rFonts w:ascii="Arial" w:hAnsi="Arial" w:cs="Arial"/>
          <w:color w:val="auto"/>
          <w:sz w:val="22"/>
          <w:szCs w:val="22"/>
          <w:lang w:val="uk-UA"/>
        </w:rPr>
        <w:t>держателя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 для авторизації в </w:t>
      </w:r>
      <w:r>
        <w:rPr>
          <w:rFonts w:ascii="Arial" w:hAnsi="Arial" w:cs="Arial"/>
          <w:color w:val="auto"/>
          <w:sz w:val="22"/>
          <w:szCs w:val="22"/>
          <w:lang w:val="uk-UA"/>
        </w:rPr>
        <w:t>мобільному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 гаманці (включаючи, </w:t>
      </w:r>
      <w:r>
        <w:rPr>
          <w:rFonts w:ascii="Arial" w:hAnsi="Arial" w:cs="Arial"/>
          <w:color w:val="auto"/>
          <w:sz w:val="22"/>
          <w:szCs w:val="22"/>
          <w:lang w:val="uk-UA"/>
        </w:rPr>
        <w:t>зокрема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, біометричні дані 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держателя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>(відбитки пальців або розпізнавання обличчя), встановлен</w:t>
      </w:r>
      <w:r>
        <w:rPr>
          <w:rFonts w:ascii="Arial" w:hAnsi="Arial" w:cs="Arial"/>
          <w:color w:val="auto"/>
          <w:sz w:val="22"/>
          <w:szCs w:val="22"/>
          <w:lang w:val="uk-UA"/>
        </w:rPr>
        <w:t>ий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 відповідно до </w:t>
      </w:r>
      <w:r>
        <w:rPr>
          <w:rFonts w:ascii="Arial" w:hAnsi="Arial" w:cs="Arial"/>
          <w:color w:val="auto"/>
          <w:sz w:val="22"/>
          <w:szCs w:val="22"/>
          <w:lang w:val="uk-UA"/>
        </w:rPr>
        <w:t>у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мов </w:t>
      </w:r>
      <w:r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ервіс-провайдера, ПІН-код, а також інші дані, що використовуються для доступу </w:t>
      </w:r>
      <w:r>
        <w:rPr>
          <w:rFonts w:ascii="Arial" w:hAnsi="Arial" w:cs="Arial"/>
          <w:color w:val="auto"/>
          <w:sz w:val="22"/>
          <w:szCs w:val="22"/>
          <w:lang w:val="uk-UA"/>
        </w:rPr>
        <w:t>до системи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. За допомогою введення </w:t>
      </w:r>
      <w:proofErr w:type="spellStart"/>
      <w:r>
        <w:rPr>
          <w:rFonts w:ascii="Arial" w:hAnsi="Arial" w:cs="Arial"/>
          <w:color w:val="auto"/>
          <w:sz w:val="22"/>
          <w:szCs w:val="22"/>
          <w:lang w:val="uk-UA"/>
        </w:rPr>
        <w:t>авте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>нтифікаційних</w:t>
      </w:r>
      <w:proofErr w:type="spellEnd"/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 даних Клієнт підтверджує платіж;</w:t>
      </w:r>
    </w:p>
    <w:p w:rsidR="00030FDD" w:rsidRPr="00922E0D" w:rsidRDefault="00922E0D" w:rsidP="00030FDD">
      <w:pPr>
        <w:pStyle w:val="Default"/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uk-UA"/>
        </w:rPr>
        <w:t>д</w:t>
      </w:r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оговори з третіми особами – </w:t>
      </w:r>
      <w:r>
        <w:rPr>
          <w:rFonts w:ascii="Arial" w:hAnsi="Arial" w:cs="Arial"/>
          <w:color w:val="auto"/>
          <w:sz w:val="22"/>
          <w:szCs w:val="22"/>
          <w:lang w:val="uk-UA"/>
        </w:rPr>
        <w:t>договори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 із </w:t>
      </w:r>
      <w:r w:rsidR="006476D8"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ервіс-провайдером, </w:t>
      </w:r>
      <w:r>
        <w:rPr>
          <w:rFonts w:ascii="Arial" w:hAnsi="Arial" w:cs="Arial"/>
          <w:color w:val="auto"/>
          <w:sz w:val="22"/>
          <w:szCs w:val="22"/>
          <w:lang w:val="uk-UA"/>
        </w:rPr>
        <w:t>о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>ператором мобільного зв'язку</w:t>
      </w:r>
      <w:r>
        <w:rPr>
          <w:rFonts w:ascii="Arial" w:hAnsi="Arial" w:cs="Arial"/>
          <w:color w:val="auto"/>
          <w:sz w:val="22"/>
          <w:szCs w:val="22"/>
          <w:lang w:val="uk-UA"/>
        </w:rPr>
        <w:t>, постачальником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 будь-яких інших послуг або 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власником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сайту, що вбудовані в </w:t>
      </w:r>
      <w:r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истему, які передбачають власні умови (включаючи </w:t>
      </w:r>
      <w:r>
        <w:rPr>
          <w:rFonts w:ascii="Arial" w:hAnsi="Arial" w:cs="Arial"/>
          <w:color w:val="auto"/>
          <w:sz w:val="22"/>
          <w:szCs w:val="22"/>
          <w:lang w:val="uk-UA"/>
        </w:rPr>
        <w:t>у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мови </w:t>
      </w:r>
      <w:r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>ервіс-провайдера) та політику конфіденційності</w:t>
      </w:r>
      <w:r>
        <w:rPr>
          <w:rFonts w:ascii="Arial" w:hAnsi="Arial" w:cs="Arial"/>
          <w:color w:val="auto"/>
          <w:sz w:val="22"/>
          <w:szCs w:val="22"/>
          <w:lang w:val="uk-UA"/>
        </w:rPr>
        <w:t>;</w:t>
      </w:r>
    </w:p>
    <w:p w:rsidR="00030FDD" w:rsidRPr="00922E0D" w:rsidRDefault="00922E0D" w:rsidP="00030FDD">
      <w:pPr>
        <w:pStyle w:val="Default"/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uk-UA"/>
        </w:rPr>
        <w:t>мобільний</w:t>
      </w:r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 гаманець</w:t>
      </w:r>
      <w:r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 –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>програмне забезпечення у формі мобільного додатк</w:t>
      </w:r>
      <w:r>
        <w:rPr>
          <w:rFonts w:ascii="Arial" w:hAnsi="Arial" w:cs="Arial"/>
          <w:color w:val="auto"/>
          <w:sz w:val="22"/>
          <w:szCs w:val="22"/>
          <w:lang w:val="uk-UA"/>
        </w:rPr>
        <w:t>а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, встановлене </w:t>
      </w:r>
      <w:r>
        <w:rPr>
          <w:rFonts w:ascii="Arial" w:hAnsi="Arial" w:cs="Arial"/>
          <w:color w:val="auto"/>
          <w:sz w:val="22"/>
          <w:szCs w:val="22"/>
          <w:lang w:val="uk-UA"/>
        </w:rPr>
        <w:t>у п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>ристрої, що дозволяє, зокрема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>, ініціювати платіжні операції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>;</w:t>
      </w:r>
    </w:p>
    <w:p w:rsidR="00030FDD" w:rsidRPr="00922E0D" w:rsidRDefault="00922E0D" w:rsidP="00030FDD">
      <w:pPr>
        <w:pStyle w:val="Default"/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uk-UA"/>
        </w:rPr>
        <w:t>с</w:t>
      </w:r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ервіс-провайдер – 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 xml:space="preserve"> власник мобільного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>гаманця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>;</w:t>
      </w:r>
    </w:p>
    <w:p w:rsidR="00030FDD" w:rsidRPr="00922E0D" w:rsidRDefault="00922E0D" w:rsidP="00030FDD">
      <w:pPr>
        <w:pStyle w:val="Default"/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uk-UA"/>
        </w:rPr>
        <w:t>с</w:t>
      </w:r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>истема мобільних платежів</w:t>
      </w:r>
      <w:r w:rsidR="00030FDD" w:rsidRPr="00852084">
        <w:rPr>
          <w:rFonts w:ascii="Arial" w:hAnsi="Arial" w:cs="Arial"/>
          <w:bCs/>
          <w:color w:val="auto"/>
          <w:sz w:val="22"/>
          <w:szCs w:val="22"/>
          <w:lang w:val="uk-UA"/>
        </w:rPr>
        <w:t xml:space="preserve"> </w:t>
      </w:r>
      <w:r w:rsidR="00852084" w:rsidRPr="00852084">
        <w:rPr>
          <w:rFonts w:ascii="Arial" w:hAnsi="Arial" w:cs="Arial"/>
          <w:bCs/>
          <w:color w:val="auto"/>
          <w:sz w:val="22"/>
          <w:szCs w:val="22"/>
          <w:lang w:val="uk-UA"/>
        </w:rPr>
        <w:t xml:space="preserve">або </w:t>
      </w:r>
      <w:r>
        <w:rPr>
          <w:rFonts w:ascii="Arial" w:hAnsi="Arial" w:cs="Arial"/>
          <w:b/>
          <w:bCs/>
          <w:color w:val="auto"/>
          <w:sz w:val="22"/>
          <w:szCs w:val="22"/>
          <w:lang w:val="uk-UA"/>
        </w:rPr>
        <w:t>с</w:t>
      </w:r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истема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– комплекс програмного забезпечення, що включає 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>мобільний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 гаманець</w:t>
      </w:r>
      <w:r w:rsidR="00852084" w:rsidRPr="00B703D4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 xml:space="preserve">і надає держателю можливість за допомогою пристрою ініціювати платіжні операції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>з використанням технології бездротового високочастотного зв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>'язку малого радіусу дії (NFC);</w:t>
      </w:r>
    </w:p>
    <w:p w:rsidR="00030FDD" w:rsidRPr="00922E0D" w:rsidRDefault="00922E0D" w:rsidP="00030FDD">
      <w:pPr>
        <w:pStyle w:val="Default"/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uk-UA"/>
        </w:rPr>
        <w:t>у</w:t>
      </w:r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мови </w:t>
      </w:r>
      <w:r w:rsidR="00852084">
        <w:rPr>
          <w:rFonts w:ascii="Arial" w:hAnsi="Arial" w:cs="Arial"/>
          <w:b/>
          <w:bCs/>
          <w:color w:val="auto"/>
          <w:sz w:val="22"/>
          <w:szCs w:val="22"/>
          <w:lang w:val="uk-UA"/>
        </w:rPr>
        <w:t>с</w:t>
      </w:r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ервіс-провайдера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– умови та правила використання 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>мобільного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 гаманця та 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истеми, 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 xml:space="preserve">що застосовуються у відносинах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між 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 xml:space="preserve">держателем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і 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>ервіс-провайдером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 xml:space="preserve"> у зв’язку з використанням мобільного гаманця;</w:t>
      </w:r>
    </w:p>
    <w:p w:rsidR="00030FDD" w:rsidRPr="00922E0D" w:rsidRDefault="00922E0D" w:rsidP="00030FDD">
      <w:pPr>
        <w:pStyle w:val="Default"/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uk-UA"/>
        </w:rPr>
        <w:t>п</w:t>
      </w:r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ристрій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– електронний пристрій 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 xml:space="preserve">держателя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(смартфон, планшет, годинник тощо), </w:t>
      </w:r>
      <w:r w:rsidR="00852084">
        <w:rPr>
          <w:rFonts w:ascii="Arial" w:hAnsi="Arial" w:cs="Arial"/>
          <w:color w:val="auto"/>
          <w:sz w:val="22"/>
          <w:szCs w:val="22"/>
          <w:lang w:val="uk-UA"/>
        </w:rPr>
        <w:t>за допомогою якого держатель користується мобільним гаманцем;</w:t>
      </w:r>
    </w:p>
    <w:p w:rsidR="00030FDD" w:rsidRPr="00922E0D" w:rsidRDefault="00922E0D" w:rsidP="00030FDD">
      <w:pPr>
        <w:pStyle w:val="Default"/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uk-UA"/>
        </w:rPr>
        <w:t>ц</w:t>
      </w:r>
      <w:r w:rsidR="00030FDD" w:rsidRPr="00922E0D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ифрова картка 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– </w:t>
      </w:r>
      <w:r w:rsidR="005B37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цифровий образ </w:t>
      </w:r>
      <w:r>
        <w:rPr>
          <w:rFonts w:ascii="Arial" w:hAnsi="Arial" w:cs="Arial"/>
          <w:color w:val="auto"/>
          <w:sz w:val="22"/>
          <w:szCs w:val="22"/>
          <w:lang w:val="uk-UA"/>
        </w:rPr>
        <w:t>ЕПЗ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, </w:t>
      </w:r>
      <w:r w:rsidR="005B37DD">
        <w:rPr>
          <w:rFonts w:ascii="Arial" w:hAnsi="Arial" w:cs="Arial"/>
          <w:color w:val="auto"/>
          <w:sz w:val="22"/>
          <w:szCs w:val="22"/>
          <w:lang w:val="uk-UA"/>
        </w:rPr>
        <w:t>зареєстрований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uk-UA"/>
        </w:rPr>
        <w:t>у с</w:t>
      </w:r>
      <w:r w:rsidR="00030FDD" w:rsidRPr="00922E0D">
        <w:rPr>
          <w:rFonts w:ascii="Arial" w:hAnsi="Arial" w:cs="Arial"/>
          <w:color w:val="auto"/>
          <w:sz w:val="22"/>
          <w:szCs w:val="22"/>
          <w:lang w:val="uk-UA"/>
        </w:rPr>
        <w:t>истемі</w:t>
      </w:r>
      <w:r>
        <w:rPr>
          <w:rFonts w:ascii="Arial" w:hAnsi="Arial" w:cs="Arial"/>
          <w:color w:val="auto"/>
          <w:sz w:val="22"/>
          <w:szCs w:val="22"/>
          <w:lang w:val="uk-UA"/>
        </w:rPr>
        <w:t>.</w:t>
      </w:r>
    </w:p>
    <w:p w:rsidR="00910BA8" w:rsidRPr="00030FDD" w:rsidRDefault="005769B8" w:rsidP="00FC6FF7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922E0D">
        <w:rPr>
          <w:rFonts w:ascii="Arial" w:hAnsi="Arial" w:cs="Arial"/>
          <w:sz w:val="22"/>
          <w:szCs w:val="22"/>
          <w:lang w:val="uk-UA"/>
        </w:rPr>
        <w:t>Інші терміни, що вживаються у цих Умовах, мають значення, надані їм у Договорі,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якщо у цих </w:t>
      </w:r>
      <w:r>
        <w:rPr>
          <w:rFonts w:ascii="Arial" w:hAnsi="Arial" w:cs="Arial"/>
          <w:sz w:val="22"/>
          <w:szCs w:val="22"/>
          <w:lang w:val="uk-UA"/>
        </w:rPr>
        <w:t>Умовах</w:t>
      </w:r>
      <w:r w:rsidRPr="00030FDD">
        <w:rPr>
          <w:rFonts w:ascii="Arial" w:hAnsi="Arial" w:cs="Arial"/>
          <w:sz w:val="22"/>
          <w:szCs w:val="22"/>
          <w:lang w:val="uk-UA"/>
        </w:rPr>
        <w:t xml:space="preserve"> їм не надано інше значення</w:t>
      </w:r>
      <w:r>
        <w:rPr>
          <w:rFonts w:ascii="Arial" w:hAnsi="Arial" w:cs="Arial"/>
          <w:color w:val="auto"/>
          <w:sz w:val="22"/>
          <w:szCs w:val="22"/>
          <w:lang w:val="uk-UA"/>
        </w:rPr>
        <w:t>.</w:t>
      </w:r>
    </w:p>
    <w:p w:rsidR="00406922" w:rsidRPr="00030FDD" w:rsidRDefault="00406922" w:rsidP="00406922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406922" w:rsidRPr="00030FDD" w:rsidRDefault="00406922" w:rsidP="00406922">
      <w:pPr>
        <w:pStyle w:val="af"/>
        <w:numPr>
          <w:ilvl w:val="0"/>
          <w:numId w:val="10"/>
        </w:numPr>
        <w:tabs>
          <w:tab w:val="left" w:pos="567"/>
        </w:tabs>
        <w:spacing w:before="0" w:line="240" w:lineRule="auto"/>
        <w:ind w:left="0" w:firstLine="0"/>
        <w:jc w:val="center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color w:val="auto"/>
          <w:sz w:val="22"/>
          <w:szCs w:val="22"/>
          <w:lang w:val="uk-UA"/>
        </w:rPr>
        <w:t>СТВОРЕННЯ ЦИФРОВОЇ КАРТКИ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</w:p>
    <w:p w:rsidR="00406922" w:rsidRPr="00030FDD" w:rsidRDefault="00406922" w:rsidP="00406922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D52BAF" w:rsidRDefault="00D52BAF" w:rsidP="00D52BAF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Можливість використання ЕПЗ у мобільному гаманці залежить від </w:t>
      </w:r>
      <w:r w:rsidR="00E66558">
        <w:rPr>
          <w:rFonts w:ascii="Arial" w:hAnsi="Arial" w:cs="Arial"/>
          <w:sz w:val="22"/>
          <w:szCs w:val="22"/>
          <w:lang w:val="uk-UA"/>
        </w:rPr>
        <w:t xml:space="preserve">умов випуску ЕПЗ, </w:t>
      </w:r>
      <w:r>
        <w:rPr>
          <w:rFonts w:ascii="Arial" w:hAnsi="Arial" w:cs="Arial"/>
          <w:sz w:val="22"/>
          <w:szCs w:val="22"/>
          <w:lang w:val="uk-UA"/>
        </w:rPr>
        <w:t>технологічних характеристик ЕПЗ і пристрою, інших обставин.</w:t>
      </w:r>
    </w:p>
    <w:p w:rsidR="00D52BAF" w:rsidRPr="00B96958" w:rsidRDefault="00D52BAF" w:rsidP="00D52BAF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Один і той самий ЕПЗ може використовуватися у декількох мобільних гаманцях або системах.</w:t>
      </w:r>
    </w:p>
    <w:p w:rsidR="00B96958" w:rsidRDefault="00B96958" w:rsidP="00B96958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Держатель </w:t>
      </w:r>
      <w:r w:rsidR="00F72B48">
        <w:rPr>
          <w:rFonts w:ascii="Arial" w:hAnsi="Arial" w:cs="Arial"/>
          <w:sz w:val="22"/>
          <w:szCs w:val="22"/>
          <w:lang w:val="uk-UA"/>
        </w:rPr>
        <w:t>створює цифрову картку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Pr="00B96958">
        <w:rPr>
          <w:rFonts w:ascii="Arial" w:hAnsi="Arial" w:cs="Arial"/>
          <w:sz w:val="22"/>
          <w:szCs w:val="22"/>
          <w:lang w:val="uk-UA"/>
        </w:rPr>
        <w:t xml:space="preserve">в </w:t>
      </w:r>
      <w:r>
        <w:rPr>
          <w:rFonts w:ascii="Arial" w:hAnsi="Arial" w:cs="Arial"/>
          <w:sz w:val="22"/>
          <w:szCs w:val="22"/>
          <w:lang w:val="uk-UA"/>
        </w:rPr>
        <w:t>с</w:t>
      </w:r>
      <w:r w:rsidRPr="00B96958">
        <w:rPr>
          <w:rFonts w:ascii="Arial" w:hAnsi="Arial" w:cs="Arial"/>
          <w:sz w:val="22"/>
          <w:szCs w:val="22"/>
          <w:lang w:val="uk-UA"/>
        </w:rPr>
        <w:t xml:space="preserve">истемі шляхом введення </w:t>
      </w:r>
      <w:r>
        <w:rPr>
          <w:rFonts w:ascii="Arial" w:hAnsi="Arial" w:cs="Arial"/>
          <w:sz w:val="22"/>
          <w:szCs w:val="22"/>
          <w:lang w:val="uk-UA"/>
        </w:rPr>
        <w:t>реквізитів ЕПЗ (номер, строк</w:t>
      </w:r>
      <w:r w:rsidRPr="00B96958">
        <w:rPr>
          <w:rFonts w:ascii="Arial" w:hAnsi="Arial" w:cs="Arial"/>
          <w:sz w:val="22"/>
          <w:szCs w:val="22"/>
          <w:lang w:val="uk-UA"/>
        </w:rPr>
        <w:t xml:space="preserve"> дії</w:t>
      </w:r>
      <w:r>
        <w:rPr>
          <w:rFonts w:ascii="Arial" w:hAnsi="Arial" w:cs="Arial"/>
          <w:sz w:val="22"/>
          <w:szCs w:val="22"/>
          <w:lang w:val="uk-UA"/>
        </w:rPr>
        <w:t>,</w:t>
      </w:r>
      <w:r w:rsidRPr="00B96958">
        <w:rPr>
          <w:rFonts w:ascii="Arial" w:hAnsi="Arial" w:cs="Arial"/>
          <w:sz w:val="22"/>
          <w:szCs w:val="22"/>
          <w:lang w:val="uk-UA"/>
        </w:rPr>
        <w:t xml:space="preserve"> </w:t>
      </w:r>
      <w:r>
        <w:rPr>
          <w:rFonts w:ascii="Arial" w:hAnsi="Arial" w:cs="Arial"/>
          <w:sz w:val="22"/>
          <w:szCs w:val="22"/>
          <w:lang w:val="uk-UA"/>
        </w:rPr>
        <w:t xml:space="preserve">CVV2/CVC2 код) </w:t>
      </w:r>
      <w:r w:rsidRPr="00B96958">
        <w:rPr>
          <w:rFonts w:ascii="Arial" w:hAnsi="Arial" w:cs="Arial"/>
          <w:sz w:val="22"/>
          <w:szCs w:val="22"/>
          <w:lang w:val="uk-UA"/>
        </w:rPr>
        <w:t xml:space="preserve">в </w:t>
      </w:r>
      <w:r>
        <w:rPr>
          <w:rFonts w:ascii="Arial" w:hAnsi="Arial" w:cs="Arial"/>
          <w:sz w:val="22"/>
          <w:szCs w:val="22"/>
          <w:lang w:val="uk-UA"/>
        </w:rPr>
        <w:t xml:space="preserve">мобільному гаманці або </w:t>
      </w:r>
      <w:r w:rsidRPr="00B96958">
        <w:rPr>
          <w:rFonts w:ascii="Arial" w:hAnsi="Arial" w:cs="Arial"/>
          <w:sz w:val="22"/>
          <w:szCs w:val="22"/>
          <w:lang w:val="uk-UA"/>
        </w:rPr>
        <w:t xml:space="preserve">шляхом обрання </w:t>
      </w:r>
      <w:r>
        <w:rPr>
          <w:rFonts w:ascii="Arial" w:hAnsi="Arial" w:cs="Arial"/>
          <w:sz w:val="22"/>
          <w:szCs w:val="22"/>
          <w:lang w:val="uk-UA"/>
        </w:rPr>
        <w:t xml:space="preserve">ЕПЗ </w:t>
      </w:r>
      <w:r w:rsidRPr="00B96958">
        <w:rPr>
          <w:rFonts w:ascii="Arial" w:hAnsi="Arial" w:cs="Arial"/>
          <w:sz w:val="22"/>
          <w:szCs w:val="22"/>
          <w:lang w:val="uk-UA"/>
        </w:rPr>
        <w:t xml:space="preserve">для використання в </w:t>
      </w:r>
      <w:r>
        <w:rPr>
          <w:rFonts w:ascii="Arial" w:hAnsi="Arial" w:cs="Arial"/>
          <w:sz w:val="22"/>
          <w:szCs w:val="22"/>
          <w:lang w:val="uk-UA"/>
        </w:rPr>
        <w:t>с</w:t>
      </w:r>
      <w:r w:rsidRPr="00B96958">
        <w:rPr>
          <w:rFonts w:ascii="Arial" w:hAnsi="Arial" w:cs="Arial"/>
          <w:sz w:val="22"/>
          <w:szCs w:val="22"/>
          <w:lang w:val="uk-UA"/>
        </w:rPr>
        <w:t xml:space="preserve">истемі через </w:t>
      </w:r>
      <w:r>
        <w:rPr>
          <w:rFonts w:ascii="Arial" w:hAnsi="Arial" w:cs="Arial"/>
          <w:sz w:val="22"/>
          <w:szCs w:val="22"/>
          <w:lang w:val="uk-UA"/>
        </w:rPr>
        <w:t xml:space="preserve">СДО </w:t>
      </w:r>
      <w:r w:rsidRPr="00B96958">
        <w:rPr>
          <w:rFonts w:ascii="Arial" w:hAnsi="Arial" w:cs="Arial"/>
          <w:sz w:val="22"/>
          <w:szCs w:val="22"/>
          <w:lang w:val="uk-UA"/>
        </w:rPr>
        <w:t>(</w:t>
      </w:r>
      <w:r w:rsidR="003C17DD">
        <w:rPr>
          <w:rFonts w:ascii="Arial" w:hAnsi="Arial" w:cs="Arial"/>
          <w:sz w:val="22"/>
          <w:szCs w:val="22"/>
          <w:lang w:val="uk-UA"/>
        </w:rPr>
        <w:t>за наявності такої можливості).</w:t>
      </w:r>
    </w:p>
    <w:p w:rsidR="00406922" w:rsidRDefault="003C17DD" w:rsidP="00B96958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Під час</w:t>
      </w:r>
      <w:r w:rsidR="00406922" w:rsidRPr="00406922">
        <w:rPr>
          <w:rFonts w:ascii="Arial" w:hAnsi="Arial" w:cs="Arial"/>
          <w:sz w:val="22"/>
          <w:szCs w:val="22"/>
          <w:lang w:val="uk-UA"/>
        </w:rPr>
        <w:t xml:space="preserve"> створення </w:t>
      </w:r>
      <w:r w:rsidR="00406922">
        <w:rPr>
          <w:rFonts w:ascii="Arial" w:hAnsi="Arial" w:cs="Arial"/>
          <w:sz w:val="22"/>
          <w:szCs w:val="22"/>
          <w:lang w:val="uk-UA"/>
        </w:rPr>
        <w:t xml:space="preserve">цифрової картки генерується </w:t>
      </w:r>
      <w:r w:rsidR="00406922" w:rsidRPr="00406922">
        <w:rPr>
          <w:rFonts w:ascii="Arial" w:hAnsi="Arial" w:cs="Arial"/>
          <w:sz w:val="22"/>
          <w:szCs w:val="22"/>
          <w:lang w:val="uk-UA"/>
        </w:rPr>
        <w:t>токен (</w:t>
      </w:r>
      <w:proofErr w:type="spellStart"/>
      <w:r w:rsidR="00406922" w:rsidRPr="00406922">
        <w:rPr>
          <w:rFonts w:ascii="Arial" w:hAnsi="Arial" w:cs="Arial"/>
          <w:sz w:val="22"/>
          <w:szCs w:val="22"/>
          <w:lang w:val="uk-UA"/>
        </w:rPr>
        <w:t>token</w:t>
      </w:r>
      <w:proofErr w:type="spellEnd"/>
      <w:r w:rsidR="00406922" w:rsidRPr="00406922">
        <w:rPr>
          <w:rFonts w:ascii="Arial" w:hAnsi="Arial" w:cs="Arial"/>
          <w:sz w:val="22"/>
          <w:szCs w:val="22"/>
          <w:lang w:val="uk-UA"/>
        </w:rPr>
        <w:t>)</w:t>
      </w:r>
      <w:r w:rsidR="00406922">
        <w:rPr>
          <w:rFonts w:ascii="Arial" w:hAnsi="Arial" w:cs="Arial"/>
          <w:sz w:val="22"/>
          <w:szCs w:val="22"/>
          <w:lang w:val="uk-UA"/>
        </w:rPr>
        <w:t xml:space="preserve"> </w:t>
      </w:r>
      <w:r w:rsidR="00406922" w:rsidRPr="00406922">
        <w:rPr>
          <w:rFonts w:ascii="Arial" w:hAnsi="Arial" w:cs="Arial"/>
          <w:sz w:val="22"/>
          <w:szCs w:val="22"/>
          <w:lang w:val="uk-UA"/>
        </w:rPr>
        <w:t xml:space="preserve">– унікальний цифровий ідентифікатор, що замінює собою </w:t>
      </w:r>
      <w:r w:rsidR="00406922">
        <w:rPr>
          <w:rFonts w:ascii="Arial" w:hAnsi="Arial" w:cs="Arial"/>
          <w:sz w:val="22"/>
          <w:szCs w:val="22"/>
          <w:lang w:val="uk-UA"/>
        </w:rPr>
        <w:t>реквізити</w:t>
      </w:r>
      <w:r w:rsidR="00406922" w:rsidRPr="00406922">
        <w:rPr>
          <w:rFonts w:ascii="Arial" w:hAnsi="Arial" w:cs="Arial"/>
          <w:sz w:val="22"/>
          <w:szCs w:val="22"/>
          <w:lang w:val="uk-UA"/>
        </w:rPr>
        <w:t xml:space="preserve"> ЕПЗ. Токен генерується, активується та використовується відповідно до правил платіжної системи, надаючи </w:t>
      </w:r>
      <w:r w:rsidR="00406922">
        <w:rPr>
          <w:rFonts w:ascii="Arial" w:hAnsi="Arial" w:cs="Arial"/>
          <w:sz w:val="22"/>
          <w:szCs w:val="22"/>
          <w:lang w:val="uk-UA"/>
        </w:rPr>
        <w:t>держателю</w:t>
      </w:r>
      <w:r w:rsidR="00406922" w:rsidRPr="00406922">
        <w:rPr>
          <w:rFonts w:ascii="Arial" w:hAnsi="Arial" w:cs="Arial"/>
          <w:sz w:val="22"/>
          <w:szCs w:val="22"/>
          <w:lang w:val="uk-UA"/>
        </w:rPr>
        <w:t xml:space="preserve"> можливість ініціювати/здійснювати визначені платіжною системою та Банком операції.</w:t>
      </w:r>
    </w:p>
    <w:p w:rsidR="00406922" w:rsidRDefault="00406922" w:rsidP="00B96958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 w:rsidRPr="00406922">
        <w:rPr>
          <w:rFonts w:ascii="Arial" w:hAnsi="Arial" w:cs="Arial"/>
          <w:sz w:val="22"/>
          <w:szCs w:val="22"/>
          <w:lang w:val="uk-UA"/>
        </w:rPr>
        <w:t xml:space="preserve">Обов’язковою умовою активації токену </w:t>
      </w:r>
      <w:r w:rsidR="003C17DD">
        <w:rPr>
          <w:rFonts w:ascii="Arial" w:hAnsi="Arial" w:cs="Arial"/>
          <w:sz w:val="22"/>
          <w:szCs w:val="22"/>
          <w:lang w:val="uk-UA"/>
        </w:rPr>
        <w:t xml:space="preserve">і створення цифрової картки </w:t>
      </w:r>
      <w:r w:rsidRPr="00406922">
        <w:rPr>
          <w:rFonts w:ascii="Arial" w:hAnsi="Arial" w:cs="Arial"/>
          <w:sz w:val="22"/>
          <w:szCs w:val="22"/>
          <w:lang w:val="uk-UA"/>
        </w:rPr>
        <w:t xml:space="preserve">є верифікація держателя в системі </w:t>
      </w:r>
      <w:r w:rsidR="003C17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з використанням його </w:t>
      </w:r>
      <w:proofErr w:type="spellStart"/>
      <w:r w:rsidR="003C17DD">
        <w:rPr>
          <w:rFonts w:ascii="Arial" w:hAnsi="Arial" w:cs="Arial"/>
          <w:color w:val="auto"/>
          <w:sz w:val="22"/>
          <w:szCs w:val="22"/>
          <w:lang w:val="uk-UA"/>
        </w:rPr>
        <w:t>авте</w:t>
      </w:r>
      <w:r w:rsidR="003C17DD" w:rsidRPr="00922E0D">
        <w:rPr>
          <w:rFonts w:ascii="Arial" w:hAnsi="Arial" w:cs="Arial"/>
          <w:color w:val="auto"/>
          <w:sz w:val="22"/>
          <w:szCs w:val="22"/>
          <w:lang w:val="uk-UA"/>
        </w:rPr>
        <w:t>нтифікаційних</w:t>
      </w:r>
      <w:proofErr w:type="spellEnd"/>
      <w:r w:rsidR="003C17DD" w:rsidRPr="00922E0D">
        <w:rPr>
          <w:rFonts w:ascii="Arial" w:hAnsi="Arial" w:cs="Arial"/>
          <w:color w:val="auto"/>
          <w:sz w:val="22"/>
          <w:szCs w:val="22"/>
          <w:lang w:val="uk-UA"/>
        </w:rPr>
        <w:t xml:space="preserve"> даних</w:t>
      </w:r>
      <w:r w:rsidR="003C17DD" w:rsidRPr="00406922">
        <w:rPr>
          <w:rFonts w:ascii="Arial" w:hAnsi="Arial" w:cs="Arial"/>
          <w:sz w:val="22"/>
          <w:szCs w:val="22"/>
          <w:lang w:val="uk-UA"/>
        </w:rPr>
        <w:t xml:space="preserve"> </w:t>
      </w:r>
      <w:r w:rsidRPr="00406922">
        <w:rPr>
          <w:rFonts w:ascii="Arial" w:hAnsi="Arial" w:cs="Arial"/>
          <w:sz w:val="22"/>
          <w:szCs w:val="22"/>
          <w:lang w:val="uk-UA"/>
        </w:rPr>
        <w:t xml:space="preserve">та/або підтвердження ним свого </w:t>
      </w:r>
      <w:r w:rsidR="006B3078">
        <w:rPr>
          <w:rFonts w:ascii="Arial" w:hAnsi="Arial" w:cs="Arial"/>
          <w:sz w:val="22"/>
          <w:szCs w:val="22"/>
          <w:lang w:val="uk-UA"/>
        </w:rPr>
        <w:t>волевиявлення</w:t>
      </w:r>
      <w:r w:rsidRPr="00406922">
        <w:rPr>
          <w:rFonts w:ascii="Arial" w:hAnsi="Arial" w:cs="Arial"/>
          <w:sz w:val="22"/>
          <w:szCs w:val="22"/>
          <w:lang w:val="uk-UA"/>
        </w:rPr>
        <w:t xml:space="preserve"> шляхом введення отриманого від Банку одноразового паролю чи звернення з цією метою до Банку</w:t>
      </w:r>
      <w:r>
        <w:rPr>
          <w:rFonts w:ascii="Arial" w:hAnsi="Arial" w:cs="Arial"/>
          <w:sz w:val="22"/>
          <w:szCs w:val="22"/>
          <w:lang w:val="uk-UA"/>
        </w:rPr>
        <w:t>.</w:t>
      </w:r>
    </w:p>
    <w:p w:rsidR="00406922" w:rsidRPr="00D52BAF" w:rsidRDefault="00406922" w:rsidP="00406922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Держатель</w:t>
      </w:r>
      <w:r w:rsidRPr="00D52BAF">
        <w:rPr>
          <w:rFonts w:ascii="Arial" w:hAnsi="Arial" w:cs="Arial"/>
          <w:sz w:val="22"/>
          <w:szCs w:val="22"/>
          <w:lang w:val="uk-UA"/>
        </w:rPr>
        <w:t xml:space="preserve"> </w:t>
      </w:r>
      <w:r>
        <w:rPr>
          <w:rFonts w:ascii="Arial" w:hAnsi="Arial" w:cs="Arial"/>
          <w:sz w:val="22"/>
          <w:szCs w:val="22"/>
          <w:lang w:val="uk-UA"/>
        </w:rPr>
        <w:t>може у</w:t>
      </w:r>
      <w:r w:rsidRPr="00D52BAF">
        <w:rPr>
          <w:rFonts w:ascii="Arial" w:hAnsi="Arial" w:cs="Arial"/>
          <w:sz w:val="22"/>
          <w:szCs w:val="22"/>
          <w:lang w:val="uk-UA"/>
        </w:rPr>
        <w:t xml:space="preserve"> будь-який час </w:t>
      </w:r>
      <w:r>
        <w:rPr>
          <w:rFonts w:ascii="Arial" w:hAnsi="Arial" w:cs="Arial"/>
          <w:sz w:val="22"/>
          <w:szCs w:val="22"/>
          <w:lang w:val="uk-UA"/>
        </w:rPr>
        <w:t>видалити ц</w:t>
      </w:r>
      <w:r w:rsidRPr="00D52BAF">
        <w:rPr>
          <w:rFonts w:ascii="Arial" w:hAnsi="Arial" w:cs="Arial"/>
          <w:sz w:val="22"/>
          <w:szCs w:val="22"/>
          <w:lang w:val="uk-UA"/>
        </w:rPr>
        <w:t xml:space="preserve">ифрову картку з </w:t>
      </w:r>
      <w:r>
        <w:rPr>
          <w:rFonts w:ascii="Arial" w:hAnsi="Arial" w:cs="Arial"/>
          <w:sz w:val="22"/>
          <w:szCs w:val="22"/>
          <w:lang w:val="uk-UA"/>
        </w:rPr>
        <w:t>мобільного гаманця</w:t>
      </w:r>
      <w:r w:rsidRPr="00D52BAF">
        <w:rPr>
          <w:rFonts w:ascii="Arial" w:hAnsi="Arial" w:cs="Arial"/>
          <w:sz w:val="22"/>
          <w:szCs w:val="22"/>
          <w:lang w:val="uk-UA"/>
        </w:rPr>
        <w:t xml:space="preserve">. </w:t>
      </w:r>
    </w:p>
    <w:p w:rsidR="00406922" w:rsidRPr="00030FDD" w:rsidRDefault="00406922" w:rsidP="00406922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406922" w:rsidRPr="00030FDD" w:rsidRDefault="00406922" w:rsidP="00406922">
      <w:pPr>
        <w:pStyle w:val="af"/>
        <w:numPr>
          <w:ilvl w:val="0"/>
          <w:numId w:val="10"/>
        </w:numPr>
        <w:tabs>
          <w:tab w:val="left" w:pos="567"/>
        </w:tabs>
        <w:spacing w:before="0" w:line="240" w:lineRule="auto"/>
        <w:ind w:left="0" w:firstLine="0"/>
        <w:jc w:val="center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color w:val="auto"/>
          <w:sz w:val="22"/>
          <w:szCs w:val="22"/>
          <w:lang w:val="uk-UA"/>
        </w:rPr>
        <w:t>ЗДІЙСНЕННЯ ОПЕРАЦІЙ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</w:p>
    <w:p w:rsidR="00406922" w:rsidRPr="00030FDD" w:rsidRDefault="00406922" w:rsidP="00406922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910BA8" w:rsidRPr="00B96958" w:rsidRDefault="00B96958" w:rsidP="00B96958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 w:rsidRPr="00B96958">
        <w:rPr>
          <w:rFonts w:ascii="Arial" w:hAnsi="Arial" w:cs="Arial"/>
          <w:sz w:val="22"/>
          <w:szCs w:val="22"/>
          <w:lang w:val="uk-UA"/>
        </w:rPr>
        <w:t xml:space="preserve">Ініціювання платіжної операції за допомогою цифрової картки можливе </w:t>
      </w:r>
      <w:r w:rsidR="00910BA8" w:rsidRPr="00B96958">
        <w:rPr>
          <w:rFonts w:ascii="Arial" w:hAnsi="Arial" w:cs="Arial"/>
          <w:sz w:val="22"/>
          <w:szCs w:val="22"/>
          <w:lang w:val="uk-UA"/>
        </w:rPr>
        <w:t xml:space="preserve">на </w:t>
      </w:r>
      <w:r w:rsidR="00F72B48">
        <w:rPr>
          <w:rFonts w:ascii="Arial" w:hAnsi="Arial" w:cs="Arial"/>
          <w:sz w:val="22"/>
          <w:szCs w:val="22"/>
          <w:lang w:val="uk-UA"/>
        </w:rPr>
        <w:t>платіжному пристрої</w:t>
      </w:r>
      <w:r w:rsidRPr="00B96958">
        <w:rPr>
          <w:rFonts w:ascii="Arial" w:hAnsi="Arial" w:cs="Arial"/>
          <w:sz w:val="22"/>
          <w:szCs w:val="22"/>
          <w:lang w:val="uk-UA"/>
        </w:rPr>
        <w:t>, що підтримує безконтактну оплату</w:t>
      </w:r>
      <w:r w:rsidR="00F72B48">
        <w:rPr>
          <w:rFonts w:ascii="Arial" w:hAnsi="Arial" w:cs="Arial"/>
          <w:sz w:val="22"/>
          <w:szCs w:val="22"/>
          <w:lang w:val="uk-UA"/>
        </w:rPr>
        <w:t>.</w:t>
      </w:r>
    </w:p>
    <w:p w:rsidR="00406922" w:rsidRPr="00B96958" w:rsidRDefault="00406922" w:rsidP="00406922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Для використання цифрової картки держатель вводить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а</w:t>
      </w:r>
      <w:r w:rsidRPr="00B96958">
        <w:rPr>
          <w:rFonts w:ascii="Arial" w:hAnsi="Arial" w:cs="Arial"/>
          <w:sz w:val="22"/>
          <w:szCs w:val="22"/>
          <w:lang w:val="uk-UA"/>
        </w:rPr>
        <w:t>вте</w:t>
      </w:r>
      <w:r>
        <w:rPr>
          <w:rFonts w:ascii="Arial" w:hAnsi="Arial" w:cs="Arial"/>
          <w:sz w:val="22"/>
          <w:szCs w:val="22"/>
          <w:lang w:val="uk-UA"/>
        </w:rPr>
        <w:t>нтифікаційні</w:t>
      </w:r>
      <w:proofErr w:type="spellEnd"/>
      <w:r>
        <w:rPr>
          <w:rFonts w:ascii="Arial" w:hAnsi="Arial" w:cs="Arial"/>
          <w:sz w:val="22"/>
          <w:szCs w:val="22"/>
          <w:lang w:val="uk-UA"/>
        </w:rPr>
        <w:t xml:space="preserve"> дані</w:t>
      </w:r>
      <w:r w:rsidRPr="00B96958">
        <w:rPr>
          <w:rFonts w:ascii="Arial" w:hAnsi="Arial" w:cs="Arial"/>
          <w:sz w:val="22"/>
          <w:szCs w:val="22"/>
          <w:lang w:val="uk-UA"/>
        </w:rPr>
        <w:t xml:space="preserve"> через </w:t>
      </w:r>
      <w:r>
        <w:rPr>
          <w:rFonts w:ascii="Arial" w:hAnsi="Arial" w:cs="Arial"/>
          <w:sz w:val="22"/>
          <w:szCs w:val="22"/>
          <w:lang w:val="uk-UA"/>
        </w:rPr>
        <w:t>п</w:t>
      </w:r>
      <w:r w:rsidRPr="00B96958">
        <w:rPr>
          <w:rFonts w:ascii="Arial" w:hAnsi="Arial" w:cs="Arial"/>
          <w:sz w:val="22"/>
          <w:szCs w:val="22"/>
          <w:lang w:val="uk-UA"/>
        </w:rPr>
        <w:t>ристрій.</w:t>
      </w:r>
    </w:p>
    <w:p w:rsidR="00910BA8" w:rsidRPr="00F72B48" w:rsidRDefault="00910BA8" w:rsidP="00F72B48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 w:rsidRPr="00F72B48">
        <w:rPr>
          <w:rFonts w:ascii="Arial" w:hAnsi="Arial" w:cs="Arial"/>
          <w:sz w:val="22"/>
          <w:szCs w:val="22"/>
          <w:lang w:val="uk-UA"/>
        </w:rPr>
        <w:t xml:space="preserve">Система надає </w:t>
      </w:r>
      <w:r w:rsidR="00F72B48" w:rsidRPr="00F72B48">
        <w:rPr>
          <w:rFonts w:ascii="Arial" w:hAnsi="Arial" w:cs="Arial"/>
          <w:sz w:val="22"/>
          <w:szCs w:val="22"/>
          <w:lang w:val="uk-UA"/>
        </w:rPr>
        <w:t xml:space="preserve">держателю </w:t>
      </w:r>
      <w:r w:rsidRPr="00F72B48">
        <w:rPr>
          <w:rFonts w:ascii="Arial" w:hAnsi="Arial" w:cs="Arial"/>
          <w:sz w:val="22"/>
          <w:szCs w:val="22"/>
          <w:lang w:val="uk-UA"/>
        </w:rPr>
        <w:t xml:space="preserve">доступ до інформації </w:t>
      </w:r>
      <w:r w:rsidR="00F72B48" w:rsidRPr="00F72B48">
        <w:rPr>
          <w:rFonts w:ascii="Arial" w:hAnsi="Arial" w:cs="Arial"/>
          <w:sz w:val="22"/>
          <w:szCs w:val="22"/>
          <w:lang w:val="uk-UA"/>
        </w:rPr>
        <w:t xml:space="preserve">про </w:t>
      </w:r>
      <w:r w:rsidRPr="00F72B48">
        <w:rPr>
          <w:rFonts w:ascii="Arial" w:hAnsi="Arial" w:cs="Arial"/>
          <w:sz w:val="22"/>
          <w:szCs w:val="22"/>
          <w:lang w:val="uk-UA"/>
        </w:rPr>
        <w:t xml:space="preserve">статус </w:t>
      </w:r>
      <w:r w:rsidR="00F72B48" w:rsidRPr="00F72B48">
        <w:rPr>
          <w:rFonts w:ascii="Arial" w:hAnsi="Arial" w:cs="Arial"/>
          <w:sz w:val="22"/>
          <w:szCs w:val="22"/>
          <w:lang w:val="uk-UA"/>
        </w:rPr>
        <w:t>ц</w:t>
      </w:r>
      <w:r w:rsidRPr="00F72B48">
        <w:rPr>
          <w:rFonts w:ascii="Arial" w:hAnsi="Arial" w:cs="Arial"/>
          <w:sz w:val="22"/>
          <w:szCs w:val="22"/>
          <w:lang w:val="uk-UA"/>
        </w:rPr>
        <w:t>ифрової картки</w:t>
      </w:r>
      <w:r w:rsidR="00F72B48" w:rsidRPr="00F72B48">
        <w:rPr>
          <w:rFonts w:ascii="Arial" w:hAnsi="Arial" w:cs="Arial"/>
          <w:sz w:val="22"/>
          <w:szCs w:val="22"/>
          <w:lang w:val="uk-UA"/>
        </w:rPr>
        <w:t xml:space="preserve"> і про </w:t>
      </w:r>
      <w:r w:rsidRPr="00F72B48">
        <w:rPr>
          <w:rFonts w:ascii="Arial" w:hAnsi="Arial" w:cs="Arial"/>
          <w:sz w:val="22"/>
          <w:szCs w:val="22"/>
          <w:lang w:val="uk-UA"/>
        </w:rPr>
        <w:t>о</w:t>
      </w:r>
      <w:r w:rsidR="00F72B48" w:rsidRPr="00F72B48">
        <w:rPr>
          <w:rFonts w:ascii="Arial" w:hAnsi="Arial" w:cs="Arial"/>
          <w:sz w:val="22"/>
          <w:szCs w:val="22"/>
          <w:lang w:val="uk-UA"/>
        </w:rPr>
        <w:t>перації</w:t>
      </w:r>
      <w:r w:rsidRPr="00F72B48">
        <w:rPr>
          <w:rFonts w:ascii="Arial" w:hAnsi="Arial" w:cs="Arial"/>
          <w:sz w:val="22"/>
          <w:szCs w:val="22"/>
          <w:lang w:val="uk-UA"/>
        </w:rPr>
        <w:t>, здійснен</w:t>
      </w:r>
      <w:r w:rsidR="00F72B48" w:rsidRPr="00F72B48">
        <w:rPr>
          <w:rFonts w:ascii="Arial" w:hAnsi="Arial" w:cs="Arial"/>
          <w:sz w:val="22"/>
          <w:szCs w:val="22"/>
          <w:lang w:val="uk-UA"/>
        </w:rPr>
        <w:t xml:space="preserve">і </w:t>
      </w:r>
      <w:r w:rsidRPr="00F72B48">
        <w:rPr>
          <w:rFonts w:ascii="Arial" w:hAnsi="Arial" w:cs="Arial"/>
          <w:sz w:val="22"/>
          <w:szCs w:val="22"/>
          <w:lang w:val="uk-UA"/>
        </w:rPr>
        <w:t xml:space="preserve">з використанням </w:t>
      </w:r>
      <w:r w:rsidR="00F72B48" w:rsidRPr="00F72B48">
        <w:rPr>
          <w:rFonts w:ascii="Arial" w:hAnsi="Arial" w:cs="Arial"/>
          <w:sz w:val="22"/>
          <w:szCs w:val="22"/>
          <w:lang w:val="uk-UA"/>
        </w:rPr>
        <w:t>ц</w:t>
      </w:r>
      <w:r w:rsidRPr="00F72B48">
        <w:rPr>
          <w:rFonts w:ascii="Arial" w:hAnsi="Arial" w:cs="Arial"/>
          <w:sz w:val="22"/>
          <w:szCs w:val="22"/>
          <w:lang w:val="uk-UA"/>
        </w:rPr>
        <w:t>ифрової картки</w:t>
      </w:r>
      <w:r w:rsidR="00F72B48" w:rsidRPr="00F72B48">
        <w:rPr>
          <w:rFonts w:ascii="Arial" w:hAnsi="Arial" w:cs="Arial"/>
          <w:sz w:val="22"/>
          <w:szCs w:val="22"/>
          <w:lang w:val="uk-UA"/>
        </w:rPr>
        <w:t xml:space="preserve"> (</w:t>
      </w:r>
      <w:r w:rsidRPr="00F72B48">
        <w:rPr>
          <w:rFonts w:ascii="Arial" w:hAnsi="Arial" w:cs="Arial"/>
          <w:sz w:val="22"/>
          <w:szCs w:val="22"/>
          <w:lang w:val="uk-UA"/>
        </w:rPr>
        <w:t xml:space="preserve">дата, сума, найменування </w:t>
      </w:r>
      <w:r w:rsidR="00F72B48" w:rsidRPr="00F72B48">
        <w:rPr>
          <w:rFonts w:ascii="Arial" w:hAnsi="Arial" w:cs="Arial"/>
          <w:sz w:val="22"/>
          <w:szCs w:val="22"/>
          <w:lang w:val="uk-UA"/>
        </w:rPr>
        <w:t>торговця)</w:t>
      </w:r>
      <w:r w:rsidRPr="00F72B48">
        <w:rPr>
          <w:rFonts w:ascii="Arial" w:hAnsi="Arial" w:cs="Arial"/>
          <w:sz w:val="22"/>
          <w:szCs w:val="22"/>
          <w:lang w:val="uk-UA"/>
        </w:rPr>
        <w:t xml:space="preserve">. В системі передбачена можливість відключення повідомлень </w:t>
      </w:r>
      <w:r w:rsidR="00F72B48">
        <w:rPr>
          <w:rFonts w:ascii="Arial" w:hAnsi="Arial" w:cs="Arial"/>
          <w:sz w:val="22"/>
          <w:szCs w:val="22"/>
          <w:lang w:val="uk-UA"/>
        </w:rPr>
        <w:t>про здійснені операції</w:t>
      </w:r>
      <w:r w:rsidRPr="00F72B48">
        <w:rPr>
          <w:rFonts w:ascii="Arial" w:hAnsi="Arial" w:cs="Arial"/>
          <w:sz w:val="22"/>
          <w:szCs w:val="22"/>
          <w:lang w:val="uk-UA"/>
        </w:rPr>
        <w:t>. Система не нада</w:t>
      </w:r>
      <w:r w:rsidR="00F72B48">
        <w:rPr>
          <w:rFonts w:ascii="Arial" w:hAnsi="Arial" w:cs="Arial"/>
          <w:sz w:val="22"/>
          <w:szCs w:val="22"/>
          <w:lang w:val="uk-UA"/>
        </w:rPr>
        <w:t>є</w:t>
      </w:r>
      <w:r w:rsidRPr="00F72B48">
        <w:rPr>
          <w:rFonts w:ascii="Arial" w:hAnsi="Arial" w:cs="Arial"/>
          <w:sz w:val="22"/>
          <w:szCs w:val="22"/>
          <w:lang w:val="uk-UA"/>
        </w:rPr>
        <w:t xml:space="preserve"> відомості </w:t>
      </w:r>
      <w:r w:rsidR="00F72B48">
        <w:rPr>
          <w:rFonts w:ascii="Arial" w:hAnsi="Arial" w:cs="Arial"/>
          <w:sz w:val="22"/>
          <w:szCs w:val="22"/>
          <w:lang w:val="uk-UA"/>
        </w:rPr>
        <w:t>про операції, здійснені</w:t>
      </w:r>
      <w:r w:rsidRPr="00F72B48">
        <w:rPr>
          <w:rFonts w:ascii="Arial" w:hAnsi="Arial" w:cs="Arial"/>
          <w:sz w:val="22"/>
          <w:szCs w:val="22"/>
          <w:lang w:val="uk-UA"/>
        </w:rPr>
        <w:t xml:space="preserve"> </w:t>
      </w:r>
      <w:r w:rsidR="00F72B48">
        <w:rPr>
          <w:rFonts w:ascii="Arial" w:hAnsi="Arial" w:cs="Arial"/>
          <w:sz w:val="22"/>
          <w:szCs w:val="22"/>
          <w:lang w:val="uk-UA"/>
        </w:rPr>
        <w:t>без використання системи.</w:t>
      </w:r>
    </w:p>
    <w:p w:rsidR="00910BA8" w:rsidRPr="00820E6A" w:rsidRDefault="00820E6A" w:rsidP="00820E6A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Держатель зобов’язаний з</w:t>
      </w:r>
      <w:r w:rsidR="00910BA8" w:rsidRPr="00820E6A">
        <w:rPr>
          <w:rFonts w:ascii="Arial" w:hAnsi="Arial" w:cs="Arial"/>
          <w:sz w:val="22"/>
          <w:szCs w:val="22"/>
          <w:lang w:val="uk-UA"/>
        </w:rPr>
        <w:t xml:space="preserve">абезпечити </w:t>
      </w:r>
      <w:r>
        <w:rPr>
          <w:rFonts w:ascii="Arial" w:hAnsi="Arial" w:cs="Arial"/>
          <w:sz w:val="22"/>
          <w:szCs w:val="22"/>
          <w:lang w:val="uk-UA"/>
        </w:rPr>
        <w:t xml:space="preserve">конфіденційність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а</w:t>
      </w:r>
      <w:r w:rsidR="00922E0D" w:rsidRPr="00820E6A">
        <w:rPr>
          <w:rFonts w:ascii="Arial" w:hAnsi="Arial" w:cs="Arial"/>
          <w:sz w:val="22"/>
          <w:szCs w:val="22"/>
          <w:lang w:val="uk-UA"/>
        </w:rPr>
        <w:t>вте</w:t>
      </w:r>
      <w:r w:rsidR="00910BA8" w:rsidRPr="00820E6A">
        <w:rPr>
          <w:rFonts w:ascii="Arial" w:hAnsi="Arial" w:cs="Arial"/>
          <w:sz w:val="22"/>
          <w:szCs w:val="22"/>
          <w:lang w:val="uk-UA"/>
        </w:rPr>
        <w:t>нтифікаційних</w:t>
      </w:r>
      <w:proofErr w:type="spellEnd"/>
      <w:r w:rsidR="00910BA8" w:rsidRPr="00820E6A">
        <w:rPr>
          <w:rFonts w:ascii="Arial" w:hAnsi="Arial" w:cs="Arial"/>
          <w:sz w:val="22"/>
          <w:szCs w:val="22"/>
          <w:lang w:val="uk-UA"/>
        </w:rPr>
        <w:t xml:space="preserve"> даних</w:t>
      </w:r>
      <w:r>
        <w:rPr>
          <w:rFonts w:ascii="Arial" w:hAnsi="Arial" w:cs="Arial"/>
          <w:sz w:val="22"/>
          <w:szCs w:val="22"/>
          <w:lang w:val="uk-UA"/>
        </w:rPr>
        <w:t xml:space="preserve"> і захист пристрою від несанкціонованого доступу третіх осіб. У разі </w:t>
      </w:r>
      <w:r w:rsidR="00910BA8" w:rsidRPr="00820E6A">
        <w:rPr>
          <w:rFonts w:ascii="Arial" w:hAnsi="Arial" w:cs="Arial"/>
          <w:sz w:val="22"/>
          <w:szCs w:val="22"/>
          <w:lang w:val="uk-UA"/>
        </w:rPr>
        <w:t xml:space="preserve">компрометації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а</w:t>
      </w:r>
      <w:r w:rsidRPr="00820E6A">
        <w:rPr>
          <w:rFonts w:ascii="Arial" w:hAnsi="Arial" w:cs="Arial"/>
          <w:sz w:val="22"/>
          <w:szCs w:val="22"/>
          <w:lang w:val="uk-UA"/>
        </w:rPr>
        <w:t>втентифікаційних</w:t>
      </w:r>
      <w:proofErr w:type="spellEnd"/>
      <w:r w:rsidRPr="00820E6A">
        <w:rPr>
          <w:rFonts w:ascii="Arial" w:hAnsi="Arial" w:cs="Arial"/>
          <w:sz w:val="22"/>
          <w:szCs w:val="22"/>
          <w:lang w:val="uk-UA"/>
        </w:rPr>
        <w:t xml:space="preserve"> даних </w:t>
      </w:r>
      <w:r>
        <w:rPr>
          <w:rFonts w:ascii="Arial" w:hAnsi="Arial" w:cs="Arial"/>
          <w:sz w:val="22"/>
          <w:szCs w:val="22"/>
          <w:lang w:val="uk-UA"/>
        </w:rPr>
        <w:t xml:space="preserve">(розголошення, доступу до них), доступу третіх осіб до пристрою, що загрожує здійсненням несанкціонованих операцій, держатель зобов’язаний </w:t>
      </w:r>
      <w:r w:rsidR="00910BA8" w:rsidRPr="00820E6A">
        <w:rPr>
          <w:rFonts w:ascii="Arial" w:hAnsi="Arial" w:cs="Arial"/>
          <w:sz w:val="22"/>
          <w:szCs w:val="22"/>
          <w:lang w:val="uk-UA"/>
        </w:rPr>
        <w:t xml:space="preserve">негайно повідомити Банк каналами дистанційного обслуговування, </w:t>
      </w:r>
      <w:r>
        <w:rPr>
          <w:rFonts w:ascii="Arial" w:hAnsi="Arial" w:cs="Arial"/>
          <w:sz w:val="22"/>
          <w:szCs w:val="22"/>
          <w:lang w:val="uk-UA"/>
        </w:rPr>
        <w:t>передбаченими Договором</w:t>
      </w:r>
      <w:r w:rsidR="00910BA8" w:rsidRPr="00820E6A">
        <w:rPr>
          <w:rFonts w:ascii="Arial" w:hAnsi="Arial" w:cs="Arial"/>
          <w:sz w:val="22"/>
          <w:szCs w:val="22"/>
          <w:lang w:val="uk-UA"/>
        </w:rPr>
        <w:t xml:space="preserve">. </w:t>
      </w:r>
      <w:r>
        <w:rPr>
          <w:rFonts w:ascii="Arial" w:hAnsi="Arial" w:cs="Arial"/>
          <w:sz w:val="22"/>
          <w:szCs w:val="22"/>
          <w:lang w:val="uk-UA"/>
        </w:rPr>
        <w:t>Клієнт несе ризик збитків у разі невиконання цих умов.</w:t>
      </w:r>
    </w:p>
    <w:p w:rsidR="00910BA8" w:rsidRPr="00E66558" w:rsidRDefault="00E66558" w:rsidP="00E66558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Договором з </w:t>
      </w:r>
      <w:r w:rsidR="00910BA8" w:rsidRPr="00E66558">
        <w:rPr>
          <w:rFonts w:ascii="Arial" w:hAnsi="Arial" w:cs="Arial"/>
          <w:sz w:val="22"/>
          <w:szCs w:val="22"/>
          <w:lang w:val="uk-UA"/>
        </w:rPr>
        <w:t>трет</w:t>
      </w:r>
      <w:r>
        <w:rPr>
          <w:rFonts w:ascii="Arial" w:hAnsi="Arial" w:cs="Arial"/>
          <w:sz w:val="22"/>
          <w:szCs w:val="22"/>
          <w:lang w:val="uk-UA"/>
        </w:rPr>
        <w:t xml:space="preserve">ьою особою </w:t>
      </w:r>
      <w:r w:rsidR="00910BA8" w:rsidRPr="00E66558">
        <w:rPr>
          <w:rFonts w:ascii="Arial" w:hAnsi="Arial" w:cs="Arial"/>
          <w:sz w:val="22"/>
          <w:szCs w:val="22"/>
          <w:lang w:val="uk-UA"/>
        </w:rPr>
        <w:t>мож</w:t>
      </w:r>
      <w:r>
        <w:rPr>
          <w:rFonts w:ascii="Arial" w:hAnsi="Arial" w:cs="Arial"/>
          <w:sz w:val="22"/>
          <w:szCs w:val="22"/>
          <w:lang w:val="uk-UA"/>
        </w:rPr>
        <w:t xml:space="preserve">е бути передбачено </w:t>
      </w:r>
      <w:r w:rsidR="00910BA8" w:rsidRPr="00E66558">
        <w:rPr>
          <w:rFonts w:ascii="Arial" w:hAnsi="Arial" w:cs="Arial"/>
          <w:sz w:val="22"/>
          <w:szCs w:val="22"/>
          <w:lang w:val="uk-UA"/>
        </w:rPr>
        <w:t xml:space="preserve">платежі, обмеження і заборони, </w:t>
      </w:r>
      <w:r>
        <w:rPr>
          <w:rFonts w:ascii="Arial" w:hAnsi="Arial" w:cs="Arial"/>
          <w:sz w:val="22"/>
          <w:szCs w:val="22"/>
          <w:lang w:val="uk-UA"/>
        </w:rPr>
        <w:t xml:space="preserve">що </w:t>
      </w:r>
      <w:r w:rsidR="00910BA8" w:rsidRPr="00E66558">
        <w:rPr>
          <w:rFonts w:ascii="Arial" w:hAnsi="Arial" w:cs="Arial"/>
          <w:sz w:val="22"/>
          <w:szCs w:val="22"/>
          <w:lang w:val="uk-UA"/>
        </w:rPr>
        <w:t>вплив</w:t>
      </w:r>
      <w:r>
        <w:rPr>
          <w:rFonts w:ascii="Arial" w:hAnsi="Arial" w:cs="Arial"/>
          <w:sz w:val="22"/>
          <w:szCs w:val="22"/>
          <w:lang w:val="uk-UA"/>
        </w:rPr>
        <w:t>ають</w:t>
      </w:r>
      <w:r w:rsidR="00910BA8" w:rsidRPr="00E66558">
        <w:rPr>
          <w:rFonts w:ascii="Arial" w:hAnsi="Arial" w:cs="Arial"/>
          <w:sz w:val="22"/>
          <w:szCs w:val="22"/>
          <w:lang w:val="uk-UA"/>
        </w:rPr>
        <w:t xml:space="preserve"> на використання </w:t>
      </w:r>
      <w:r>
        <w:rPr>
          <w:rFonts w:ascii="Arial" w:hAnsi="Arial" w:cs="Arial"/>
          <w:sz w:val="22"/>
          <w:szCs w:val="22"/>
          <w:lang w:val="uk-UA"/>
        </w:rPr>
        <w:t>ц</w:t>
      </w:r>
      <w:r w:rsidR="00910BA8" w:rsidRPr="00E66558">
        <w:rPr>
          <w:rFonts w:ascii="Arial" w:hAnsi="Arial" w:cs="Arial"/>
          <w:sz w:val="22"/>
          <w:szCs w:val="22"/>
          <w:lang w:val="uk-UA"/>
        </w:rPr>
        <w:t xml:space="preserve">ифрової картки, </w:t>
      </w:r>
      <w:r>
        <w:rPr>
          <w:rFonts w:ascii="Arial" w:hAnsi="Arial" w:cs="Arial"/>
          <w:sz w:val="22"/>
          <w:szCs w:val="22"/>
          <w:lang w:val="uk-UA"/>
        </w:rPr>
        <w:t>в тому числі</w:t>
      </w:r>
      <w:r w:rsidR="00910BA8" w:rsidRPr="00E66558">
        <w:rPr>
          <w:rFonts w:ascii="Arial" w:hAnsi="Arial" w:cs="Arial"/>
          <w:sz w:val="22"/>
          <w:szCs w:val="22"/>
          <w:lang w:val="uk-UA"/>
        </w:rPr>
        <w:t xml:space="preserve"> </w:t>
      </w:r>
      <w:r w:rsidR="004F5643">
        <w:rPr>
          <w:rFonts w:ascii="Arial" w:hAnsi="Arial" w:cs="Arial"/>
          <w:sz w:val="22"/>
          <w:szCs w:val="22"/>
          <w:lang w:val="uk-UA"/>
        </w:rPr>
        <w:t>умови про оброблення</w:t>
      </w:r>
      <w:r w:rsidR="00910BA8" w:rsidRPr="00E66558">
        <w:rPr>
          <w:rFonts w:ascii="Arial" w:hAnsi="Arial" w:cs="Arial"/>
          <w:sz w:val="22"/>
          <w:szCs w:val="22"/>
          <w:lang w:val="uk-UA"/>
        </w:rPr>
        <w:t xml:space="preserve"> даних</w:t>
      </w:r>
      <w:r w:rsidR="004F5643">
        <w:rPr>
          <w:rFonts w:ascii="Arial" w:hAnsi="Arial" w:cs="Arial"/>
          <w:sz w:val="22"/>
          <w:szCs w:val="22"/>
          <w:lang w:val="uk-UA"/>
        </w:rPr>
        <w:t>.</w:t>
      </w:r>
    </w:p>
    <w:p w:rsidR="00406922" w:rsidRPr="00030FDD" w:rsidRDefault="00406922" w:rsidP="00406922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406922" w:rsidRPr="00030FDD" w:rsidRDefault="00406922" w:rsidP="00406922">
      <w:pPr>
        <w:pStyle w:val="af"/>
        <w:numPr>
          <w:ilvl w:val="0"/>
          <w:numId w:val="10"/>
        </w:numPr>
        <w:tabs>
          <w:tab w:val="left" w:pos="567"/>
        </w:tabs>
        <w:spacing w:before="0" w:line="240" w:lineRule="auto"/>
        <w:ind w:left="0" w:firstLine="0"/>
        <w:jc w:val="center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color w:val="auto"/>
          <w:sz w:val="22"/>
          <w:szCs w:val="22"/>
          <w:lang w:val="uk-UA"/>
        </w:rPr>
        <w:t>НЕДОСТУПНІСТЬ ПОСЛУГ</w:t>
      </w:r>
    </w:p>
    <w:p w:rsidR="00406922" w:rsidRPr="00030FDD" w:rsidRDefault="00406922" w:rsidP="00406922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406922" w:rsidRPr="00030FDD" w:rsidRDefault="00406922" w:rsidP="00406922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color w:val="auto"/>
          <w:sz w:val="22"/>
          <w:szCs w:val="22"/>
          <w:lang w:val="uk-UA"/>
        </w:rPr>
        <w:t>В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икористання і обслуговування </w:t>
      </w:r>
      <w:r>
        <w:rPr>
          <w:rFonts w:ascii="Arial" w:hAnsi="Arial" w:cs="Arial"/>
          <w:color w:val="auto"/>
          <w:sz w:val="22"/>
          <w:szCs w:val="22"/>
          <w:lang w:val="uk-UA"/>
        </w:rPr>
        <w:t>ц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ифрової картки залежать від обсягу послуг </w:t>
      </w:r>
      <w:r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истеми і мережі </w:t>
      </w:r>
      <w:r>
        <w:rPr>
          <w:rFonts w:ascii="Arial" w:hAnsi="Arial" w:cs="Arial"/>
          <w:color w:val="auto"/>
          <w:sz w:val="22"/>
          <w:szCs w:val="22"/>
          <w:lang w:val="uk-UA"/>
        </w:rPr>
        <w:t>о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ператора мобільного зв'язку. Банк не є оператором </w:t>
      </w:r>
      <w:r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истеми або такої мережі і не контролює їх </w:t>
      </w:r>
      <w:r>
        <w:rPr>
          <w:rFonts w:ascii="Arial" w:hAnsi="Arial" w:cs="Arial"/>
          <w:color w:val="auto"/>
          <w:sz w:val="22"/>
          <w:szCs w:val="22"/>
          <w:lang w:val="uk-UA"/>
        </w:rPr>
        <w:t>функціонування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>. Банк не несе відповідальн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ості 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за будь-які обставини, які можуть перервати, створити перешкоди або іншим чином 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позначитися 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на функціонуванні будь-якої </w:t>
      </w:r>
      <w:r>
        <w:rPr>
          <w:rFonts w:ascii="Arial" w:hAnsi="Arial" w:cs="Arial"/>
          <w:color w:val="auto"/>
          <w:sz w:val="22"/>
          <w:szCs w:val="22"/>
          <w:lang w:val="uk-UA"/>
        </w:rPr>
        <w:t>ц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ифрової картки, включаючи недоступність послуг </w:t>
      </w:r>
      <w:r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истеми або послуг 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мобільного 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зв'язку, комунікацій, затримок мережі, обмежень 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мобільного 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покриття, збоїв системи або переривання бездротового зв'язку. </w:t>
      </w:r>
    </w:p>
    <w:p w:rsidR="00FC6FF7" w:rsidRPr="00030FDD" w:rsidRDefault="00FC6FF7" w:rsidP="00FC6FF7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910BA8" w:rsidRPr="00030FDD" w:rsidRDefault="00910BA8" w:rsidP="00FC6FF7">
      <w:pPr>
        <w:pStyle w:val="af"/>
        <w:numPr>
          <w:ilvl w:val="0"/>
          <w:numId w:val="10"/>
        </w:numPr>
        <w:tabs>
          <w:tab w:val="left" w:pos="567"/>
        </w:tabs>
        <w:spacing w:before="0" w:line="240" w:lineRule="auto"/>
        <w:ind w:left="0" w:firstLine="0"/>
        <w:jc w:val="center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КОНФІДЕНЦІЙНІСТЬ І БЕЗПЕКА </w:t>
      </w:r>
    </w:p>
    <w:p w:rsidR="00FC6FF7" w:rsidRPr="00030FDD" w:rsidRDefault="00FC6FF7" w:rsidP="00FC6FF7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</w:p>
    <w:p w:rsidR="00910BA8" w:rsidRPr="004F5643" w:rsidRDefault="004F5643" w:rsidP="00910BA8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4F5643">
        <w:rPr>
          <w:rFonts w:ascii="Arial" w:hAnsi="Arial" w:cs="Arial"/>
          <w:color w:val="auto"/>
          <w:sz w:val="22"/>
          <w:szCs w:val="22"/>
          <w:lang w:val="uk-UA"/>
        </w:rPr>
        <w:t>Держатель</w:t>
      </w:r>
      <w:r w:rsidR="00910BA8" w:rsidRPr="004F5643">
        <w:rPr>
          <w:rFonts w:ascii="Arial" w:hAnsi="Arial" w:cs="Arial"/>
          <w:color w:val="auto"/>
          <w:sz w:val="22"/>
          <w:szCs w:val="22"/>
          <w:lang w:val="uk-UA"/>
        </w:rPr>
        <w:t xml:space="preserve"> погоджується, що Банк має право здійснювати збір</w:t>
      </w:r>
      <w:r w:rsidRPr="004F5643">
        <w:rPr>
          <w:rFonts w:ascii="Arial" w:hAnsi="Arial" w:cs="Arial"/>
          <w:color w:val="auto"/>
          <w:sz w:val="22"/>
          <w:szCs w:val="22"/>
          <w:lang w:val="uk-UA"/>
        </w:rPr>
        <w:t xml:space="preserve"> і оброблення </w:t>
      </w:r>
      <w:r w:rsidR="00910BA8" w:rsidRPr="004F5643">
        <w:rPr>
          <w:rFonts w:ascii="Arial" w:hAnsi="Arial" w:cs="Arial"/>
          <w:color w:val="auto"/>
          <w:sz w:val="22"/>
          <w:szCs w:val="22"/>
          <w:lang w:val="uk-UA"/>
        </w:rPr>
        <w:t>технічних, персональних даних і пов'язаної з ними інформації, включаючи</w:t>
      </w:r>
      <w:r w:rsidRPr="004F5643">
        <w:rPr>
          <w:rFonts w:ascii="Arial" w:hAnsi="Arial" w:cs="Arial"/>
          <w:color w:val="auto"/>
          <w:sz w:val="22"/>
          <w:szCs w:val="22"/>
          <w:lang w:val="uk-UA"/>
        </w:rPr>
        <w:t xml:space="preserve"> дані </w:t>
      </w:r>
      <w:r w:rsidR="00910BA8" w:rsidRPr="004F5643">
        <w:rPr>
          <w:rFonts w:ascii="Arial" w:hAnsi="Arial" w:cs="Arial"/>
          <w:color w:val="auto"/>
          <w:sz w:val="22"/>
          <w:szCs w:val="22"/>
          <w:lang w:val="uk-UA"/>
        </w:rPr>
        <w:t xml:space="preserve">про </w:t>
      </w:r>
      <w:r w:rsidRPr="004F5643">
        <w:rPr>
          <w:rFonts w:ascii="Arial" w:hAnsi="Arial" w:cs="Arial"/>
          <w:color w:val="auto"/>
          <w:sz w:val="22"/>
          <w:szCs w:val="22"/>
          <w:lang w:val="uk-UA"/>
        </w:rPr>
        <w:t>п</w:t>
      </w:r>
      <w:r w:rsidR="00910BA8" w:rsidRPr="004F5643">
        <w:rPr>
          <w:rFonts w:ascii="Arial" w:hAnsi="Arial" w:cs="Arial"/>
          <w:color w:val="auto"/>
          <w:sz w:val="22"/>
          <w:szCs w:val="22"/>
          <w:lang w:val="uk-UA"/>
        </w:rPr>
        <w:t>ристрій</w:t>
      </w:r>
      <w:r w:rsidRPr="004F5643">
        <w:rPr>
          <w:rFonts w:ascii="Arial" w:hAnsi="Arial" w:cs="Arial"/>
          <w:color w:val="auto"/>
          <w:sz w:val="22"/>
          <w:szCs w:val="22"/>
          <w:lang w:val="uk-UA"/>
        </w:rPr>
        <w:t xml:space="preserve">, </w:t>
      </w:r>
      <w:r w:rsidR="00910BA8" w:rsidRPr="004F5643">
        <w:rPr>
          <w:rFonts w:ascii="Arial" w:hAnsi="Arial" w:cs="Arial"/>
          <w:color w:val="auto"/>
          <w:sz w:val="22"/>
          <w:szCs w:val="22"/>
          <w:lang w:val="uk-UA"/>
        </w:rPr>
        <w:t>щоб забезпечувати</w:t>
      </w:r>
      <w:r w:rsidRPr="004F5643">
        <w:rPr>
          <w:rFonts w:ascii="Arial" w:hAnsi="Arial" w:cs="Arial"/>
          <w:color w:val="auto"/>
          <w:sz w:val="22"/>
          <w:szCs w:val="22"/>
          <w:lang w:val="uk-UA"/>
        </w:rPr>
        <w:t>, зокрема</w:t>
      </w:r>
      <w:r>
        <w:rPr>
          <w:rFonts w:ascii="Arial" w:hAnsi="Arial" w:cs="Arial"/>
          <w:color w:val="auto"/>
          <w:sz w:val="22"/>
          <w:szCs w:val="22"/>
          <w:lang w:val="uk-UA"/>
        </w:rPr>
        <w:t>,</w:t>
      </w:r>
      <w:r w:rsidRPr="004F5643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розвиток </w:t>
      </w:r>
      <w:r w:rsidR="00910BA8" w:rsidRPr="004F5643">
        <w:rPr>
          <w:rFonts w:ascii="Arial" w:hAnsi="Arial" w:cs="Arial"/>
          <w:color w:val="auto"/>
          <w:sz w:val="22"/>
          <w:szCs w:val="22"/>
          <w:lang w:val="uk-UA"/>
        </w:rPr>
        <w:t>послуг Банку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, </w:t>
      </w:r>
      <w:r w:rsidRPr="004F5643">
        <w:rPr>
          <w:rFonts w:ascii="Arial" w:hAnsi="Arial" w:cs="Arial"/>
          <w:color w:val="auto"/>
          <w:sz w:val="22"/>
          <w:szCs w:val="22"/>
          <w:lang w:val="uk-UA"/>
        </w:rPr>
        <w:t>п</w:t>
      </w:r>
      <w:r w:rsidR="00910BA8" w:rsidRPr="004F5643">
        <w:rPr>
          <w:rFonts w:ascii="Arial" w:hAnsi="Arial" w:cs="Arial"/>
          <w:color w:val="auto"/>
          <w:sz w:val="22"/>
          <w:szCs w:val="22"/>
          <w:lang w:val="uk-UA"/>
        </w:rPr>
        <w:t xml:space="preserve">ідвищення 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їх </w:t>
      </w:r>
      <w:r w:rsidR="00910BA8" w:rsidRPr="004F5643">
        <w:rPr>
          <w:rFonts w:ascii="Arial" w:hAnsi="Arial" w:cs="Arial"/>
          <w:color w:val="auto"/>
          <w:sz w:val="22"/>
          <w:szCs w:val="22"/>
          <w:lang w:val="uk-UA"/>
        </w:rPr>
        <w:t xml:space="preserve">безпеки 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і </w:t>
      </w:r>
      <w:r w:rsidR="00910BA8" w:rsidRPr="004F5643">
        <w:rPr>
          <w:rFonts w:ascii="Arial" w:hAnsi="Arial" w:cs="Arial"/>
          <w:color w:val="auto"/>
          <w:sz w:val="22"/>
          <w:szCs w:val="22"/>
          <w:lang w:val="uk-UA"/>
        </w:rPr>
        <w:t>запобігання шахрайств</w:t>
      </w:r>
      <w:r w:rsidRPr="004F5643">
        <w:rPr>
          <w:rFonts w:ascii="Arial" w:hAnsi="Arial" w:cs="Arial"/>
          <w:color w:val="auto"/>
          <w:sz w:val="22"/>
          <w:szCs w:val="22"/>
          <w:lang w:val="uk-UA"/>
        </w:rPr>
        <w:t>у</w:t>
      </w:r>
      <w:r>
        <w:rPr>
          <w:rFonts w:ascii="Arial" w:hAnsi="Arial" w:cs="Arial"/>
          <w:color w:val="auto"/>
          <w:sz w:val="22"/>
          <w:szCs w:val="22"/>
          <w:lang w:val="uk-UA"/>
        </w:rPr>
        <w:t>.</w:t>
      </w:r>
    </w:p>
    <w:p w:rsidR="00910BA8" w:rsidRPr="00030FDD" w:rsidRDefault="00910BA8" w:rsidP="00FC6FF7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Банк не несе відповідальності за послуги </w:t>
      </w:r>
      <w:r w:rsidR="004F5643">
        <w:rPr>
          <w:rFonts w:ascii="Arial" w:hAnsi="Arial" w:cs="Arial"/>
          <w:color w:val="auto"/>
          <w:sz w:val="22"/>
          <w:szCs w:val="22"/>
          <w:lang w:val="uk-UA"/>
        </w:rPr>
        <w:t>і функціонування с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истеми,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ервіс-провайдера або іншої третьої особи.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Б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удь-яка інформація, яку збирає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>ервіс-провайдер</w:t>
      </w:r>
      <w:r w:rsidR="00774A08" w:rsidRPr="00774A08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 w:rsidR="00774A08" w:rsidRPr="00030FDD">
        <w:rPr>
          <w:rFonts w:ascii="Arial" w:hAnsi="Arial" w:cs="Arial"/>
          <w:color w:val="auto"/>
          <w:sz w:val="22"/>
          <w:szCs w:val="22"/>
          <w:lang w:val="uk-UA"/>
        </w:rPr>
        <w:t>або інш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а третя особа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,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не є предметом відносин між Банком і Клієнтом або держателем.</w:t>
      </w:r>
    </w:p>
    <w:p w:rsidR="00910BA8" w:rsidRPr="00030FDD" w:rsidRDefault="00910BA8" w:rsidP="00FC6FF7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Банк не несе відповідальності за безпеку, точність, законність, придатність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та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інші аспекти зміс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ту або функціонування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послуг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сервіс-провайдера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або третьої особи, а також за будь-які обставини, які можуть перервати, перешкодити або інакше вплинути на функціонування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мобільного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гаманця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чи с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>истеми (недоступність мережі оператора мобільного зв’язку, обмеження зони покриття мережі мобільного зв’язку, перебої подачі або переривання бездротового з’єднання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 xml:space="preserve"> тощо).</w:t>
      </w:r>
    </w:p>
    <w:p w:rsidR="00910BA8" w:rsidRPr="00030FDD" w:rsidRDefault="00910BA8" w:rsidP="00FC6FF7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Банк не несе відповідальності, а також не надає підтримки або сприяння щодо будь-якого апаратного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чи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програмного забезпечення третьої особи, а також її інших продуктів або послуг (включаючи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истему мобільних платежів або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 xml:space="preserve">мобільний 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гаманець). 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 xml:space="preserve">З цих питань держатель </w:t>
      </w:r>
      <w:r w:rsidRPr="00030FDD">
        <w:rPr>
          <w:rFonts w:ascii="Arial" w:hAnsi="Arial" w:cs="Arial"/>
          <w:color w:val="auto"/>
          <w:sz w:val="22"/>
          <w:szCs w:val="22"/>
          <w:lang w:val="uk-UA"/>
        </w:rPr>
        <w:t>повинен звертатися безпосередньо до третьої особи</w:t>
      </w:r>
      <w:r w:rsidR="00774A08">
        <w:rPr>
          <w:rFonts w:ascii="Arial" w:hAnsi="Arial" w:cs="Arial"/>
          <w:color w:val="auto"/>
          <w:sz w:val="22"/>
          <w:szCs w:val="22"/>
          <w:lang w:val="uk-UA"/>
        </w:rPr>
        <w:t>.</w:t>
      </w:r>
    </w:p>
    <w:p w:rsidR="00910BA8" w:rsidRPr="00030FDD" w:rsidRDefault="00F94CF8" w:rsidP="00FC6FF7">
      <w:pPr>
        <w:pStyle w:val="Default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>
        <w:rPr>
          <w:rFonts w:ascii="Arial" w:hAnsi="Arial" w:cs="Arial"/>
          <w:color w:val="auto"/>
          <w:sz w:val="22"/>
          <w:szCs w:val="22"/>
          <w:lang w:val="uk-UA"/>
        </w:rPr>
        <w:t>Держатель</w:t>
      </w:r>
      <w:r w:rsidR="00910BA8"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уповноважує Банк передавати, в </w:t>
      </w:r>
      <w:r w:rsidR="00406922">
        <w:rPr>
          <w:rFonts w:ascii="Arial" w:hAnsi="Arial" w:cs="Arial"/>
          <w:color w:val="auto"/>
          <w:sz w:val="22"/>
          <w:szCs w:val="22"/>
          <w:lang w:val="uk-UA"/>
        </w:rPr>
        <w:t>тому числі</w:t>
      </w:r>
      <w:r w:rsidR="00910BA8"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на територію іноземних держав (транскордонна передача), інформацію про суму операції, дату і час її </w:t>
      </w:r>
      <w:r>
        <w:rPr>
          <w:rFonts w:ascii="Arial" w:hAnsi="Arial" w:cs="Arial"/>
          <w:color w:val="auto"/>
          <w:sz w:val="22"/>
          <w:szCs w:val="22"/>
          <w:lang w:val="uk-UA"/>
        </w:rPr>
        <w:t>здійснення</w:t>
      </w:r>
      <w:r w:rsidR="00910BA8"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, типи операцій, коди валют, статус авторизації для її обробки організаціям, що є власниками </w:t>
      </w:r>
      <w:r>
        <w:rPr>
          <w:rFonts w:ascii="Arial" w:hAnsi="Arial" w:cs="Arial"/>
          <w:color w:val="auto"/>
          <w:sz w:val="22"/>
          <w:szCs w:val="22"/>
          <w:lang w:val="uk-UA"/>
        </w:rPr>
        <w:t>с</w:t>
      </w:r>
      <w:r w:rsidR="00910BA8" w:rsidRPr="00030FDD">
        <w:rPr>
          <w:rFonts w:ascii="Arial" w:hAnsi="Arial" w:cs="Arial"/>
          <w:color w:val="auto"/>
          <w:sz w:val="22"/>
          <w:szCs w:val="22"/>
          <w:lang w:val="uk-UA"/>
        </w:rPr>
        <w:t>истем</w:t>
      </w:r>
      <w:r>
        <w:rPr>
          <w:rFonts w:ascii="Arial" w:hAnsi="Arial" w:cs="Arial"/>
          <w:color w:val="auto"/>
          <w:sz w:val="22"/>
          <w:szCs w:val="22"/>
          <w:lang w:val="uk-UA"/>
        </w:rPr>
        <w:t>и</w:t>
      </w:r>
      <w:r w:rsidR="00910BA8" w:rsidRPr="00030FDD">
        <w:rPr>
          <w:rFonts w:ascii="Arial" w:hAnsi="Arial" w:cs="Arial"/>
          <w:color w:val="auto"/>
          <w:sz w:val="22"/>
          <w:szCs w:val="22"/>
          <w:lang w:val="uk-UA"/>
        </w:rPr>
        <w:t xml:space="preserve"> або 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мобільного </w:t>
      </w:r>
      <w:r w:rsidR="00910BA8" w:rsidRPr="00030FDD">
        <w:rPr>
          <w:rFonts w:ascii="Arial" w:hAnsi="Arial" w:cs="Arial"/>
          <w:color w:val="auto"/>
          <w:sz w:val="22"/>
          <w:szCs w:val="22"/>
          <w:lang w:val="uk-UA"/>
        </w:rPr>
        <w:t>гама</w:t>
      </w:r>
      <w:r>
        <w:rPr>
          <w:rFonts w:ascii="Arial" w:hAnsi="Arial" w:cs="Arial"/>
          <w:color w:val="auto"/>
          <w:sz w:val="22"/>
          <w:szCs w:val="22"/>
          <w:lang w:val="uk-UA"/>
        </w:rPr>
        <w:t xml:space="preserve">нця або залучені ними і </w:t>
      </w:r>
      <w:r w:rsidR="00910BA8" w:rsidRPr="00030FDD">
        <w:rPr>
          <w:rFonts w:ascii="Arial" w:hAnsi="Arial" w:cs="Arial"/>
          <w:color w:val="auto"/>
          <w:sz w:val="22"/>
          <w:szCs w:val="22"/>
          <w:lang w:val="uk-UA"/>
        </w:rPr>
        <w:t>забезпечують можливість здійснювати операції з</w:t>
      </w:r>
      <w:r>
        <w:rPr>
          <w:rFonts w:ascii="Arial" w:hAnsi="Arial" w:cs="Arial"/>
          <w:color w:val="auto"/>
          <w:sz w:val="22"/>
          <w:szCs w:val="22"/>
          <w:lang w:val="uk-UA"/>
        </w:rPr>
        <w:t>а допомогою мобільного гаманця.</w:t>
      </w:r>
    </w:p>
    <w:p w:rsidR="00910BA8" w:rsidRPr="00030FDD" w:rsidRDefault="00910BA8" w:rsidP="00A72E06">
      <w:pPr>
        <w:spacing w:after="0" w:line="240" w:lineRule="auto"/>
      </w:pPr>
    </w:p>
    <w:sectPr w:rsidR="00910BA8" w:rsidRPr="0003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00CC" w:rsidRDefault="005A00CC" w:rsidP="00910BA8">
      <w:pPr>
        <w:spacing w:after="0" w:line="240" w:lineRule="auto"/>
      </w:pPr>
      <w:r>
        <w:separator/>
      </w:r>
    </w:p>
  </w:endnote>
  <w:endnote w:type="continuationSeparator" w:id="0">
    <w:p w:rsidR="005A00CC" w:rsidRDefault="005A00CC" w:rsidP="0091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00CC" w:rsidRDefault="005A00CC" w:rsidP="00910BA8">
      <w:pPr>
        <w:spacing w:after="0" w:line="240" w:lineRule="auto"/>
      </w:pPr>
      <w:r>
        <w:separator/>
      </w:r>
    </w:p>
  </w:footnote>
  <w:footnote w:type="continuationSeparator" w:id="0">
    <w:p w:rsidR="005A00CC" w:rsidRDefault="005A00CC" w:rsidP="0091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E75"/>
    <w:multiLevelType w:val="hybridMultilevel"/>
    <w:tmpl w:val="88E64E4A"/>
    <w:lvl w:ilvl="0" w:tplc="B43CF07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06" w:hanging="360"/>
      </w:pPr>
    </w:lvl>
    <w:lvl w:ilvl="2" w:tplc="0C00001B" w:tentative="1">
      <w:start w:val="1"/>
      <w:numFmt w:val="lowerRoman"/>
      <w:lvlText w:val="%3."/>
      <w:lvlJc w:val="right"/>
      <w:pPr>
        <w:ind w:left="2226" w:hanging="180"/>
      </w:pPr>
    </w:lvl>
    <w:lvl w:ilvl="3" w:tplc="0C00000F" w:tentative="1">
      <w:start w:val="1"/>
      <w:numFmt w:val="decimal"/>
      <w:lvlText w:val="%4."/>
      <w:lvlJc w:val="left"/>
      <w:pPr>
        <w:ind w:left="2946" w:hanging="360"/>
      </w:pPr>
    </w:lvl>
    <w:lvl w:ilvl="4" w:tplc="0C000019" w:tentative="1">
      <w:start w:val="1"/>
      <w:numFmt w:val="lowerLetter"/>
      <w:lvlText w:val="%5."/>
      <w:lvlJc w:val="left"/>
      <w:pPr>
        <w:ind w:left="3666" w:hanging="360"/>
      </w:pPr>
    </w:lvl>
    <w:lvl w:ilvl="5" w:tplc="0C00001B" w:tentative="1">
      <w:start w:val="1"/>
      <w:numFmt w:val="lowerRoman"/>
      <w:lvlText w:val="%6."/>
      <w:lvlJc w:val="right"/>
      <w:pPr>
        <w:ind w:left="4386" w:hanging="180"/>
      </w:pPr>
    </w:lvl>
    <w:lvl w:ilvl="6" w:tplc="0C00000F" w:tentative="1">
      <w:start w:val="1"/>
      <w:numFmt w:val="decimal"/>
      <w:lvlText w:val="%7."/>
      <w:lvlJc w:val="left"/>
      <w:pPr>
        <w:ind w:left="5106" w:hanging="360"/>
      </w:pPr>
    </w:lvl>
    <w:lvl w:ilvl="7" w:tplc="0C000019" w:tentative="1">
      <w:start w:val="1"/>
      <w:numFmt w:val="lowerLetter"/>
      <w:lvlText w:val="%8."/>
      <w:lvlJc w:val="left"/>
      <w:pPr>
        <w:ind w:left="5826" w:hanging="360"/>
      </w:pPr>
    </w:lvl>
    <w:lvl w:ilvl="8" w:tplc="0C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1A16DF"/>
    <w:multiLevelType w:val="hybridMultilevel"/>
    <w:tmpl w:val="88E64E4A"/>
    <w:lvl w:ilvl="0" w:tplc="B43CF07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506" w:hanging="360"/>
      </w:pPr>
    </w:lvl>
    <w:lvl w:ilvl="2" w:tplc="0C00001B" w:tentative="1">
      <w:start w:val="1"/>
      <w:numFmt w:val="lowerRoman"/>
      <w:lvlText w:val="%3."/>
      <w:lvlJc w:val="right"/>
      <w:pPr>
        <w:ind w:left="2226" w:hanging="180"/>
      </w:pPr>
    </w:lvl>
    <w:lvl w:ilvl="3" w:tplc="0C00000F" w:tentative="1">
      <w:start w:val="1"/>
      <w:numFmt w:val="decimal"/>
      <w:lvlText w:val="%4."/>
      <w:lvlJc w:val="left"/>
      <w:pPr>
        <w:ind w:left="2946" w:hanging="360"/>
      </w:pPr>
    </w:lvl>
    <w:lvl w:ilvl="4" w:tplc="0C000019" w:tentative="1">
      <w:start w:val="1"/>
      <w:numFmt w:val="lowerLetter"/>
      <w:lvlText w:val="%5."/>
      <w:lvlJc w:val="left"/>
      <w:pPr>
        <w:ind w:left="3666" w:hanging="360"/>
      </w:pPr>
    </w:lvl>
    <w:lvl w:ilvl="5" w:tplc="0C00001B" w:tentative="1">
      <w:start w:val="1"/>
      <w:numFmt w:val="lowerRoman"/>
      <w:lvlText w:val="%6."/>
      <w:lvlJc w:val="right"/>
      <w:pPr>
        <w:ind w:left="4386" w:hanging="180"/>
      </w:pPr>
    </w:lvl>
    <w:lvl w:ilvl="6" w:tplc="0C00000F" w:tentative="1">
      <w:start w:val="1"/>
      <w:numFmt w:val="decimal"/>
      <w:lvlText w:val="%7."/>
      <w:lvlJc w:val="left"/>
      <w:pPr>
        <w:ind w:left="5106" w:hanging="360"/>
      </w:pPr>
    </w:lvl>
    <w:lvl w:ilvl="7" w:tplc="0C000019" w:tentative="1">
      <w:start w:val="1"/>
      <w:numFmt w:val="lowerLetter"/>
      <w:lvlText w:val="%8."/>
      <w:lvlJc w:val="left"/>
      <w:pPr>
        <w:ind w:left="5826" w:hanging="360"/>
      </w:pPr>
    </w:lvl>
    <w:lvl w:ilvl="8" w:tplc="0C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813B39"/>
    <w:multiLevelType w:val="hybridMultilevel"/>
    <w:tmpl w:val="522CF36E"/>
    <w:lvl w:ilvl="0" w:tplc="5E369F96">
      <w:start w:val="1"/>
      <w:numFmt w:val="lowerRoman"/>
      <w:lvlText w:val="(%1)"/>
      <w:lvlJc w:val="left"/>
      <w:pPr>
        <w:ind w:left="1351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071" w:hanging="360"/>
      </w:pPr>
    </w:lvl>
    <w:lvl w:ilvl="2" w:tplc="0C00001B" w:tentative="1">
      <w:start w:val="1"/>
      <w:numFmt w:val="lowerRoman"/>
      <w:lvlText w:val="%3."/>
      <w:lvlJc w:val="right"/>
      <w:pPr>
        <w:ind w:left="2791" w:hanging="180"/>
      </w:pPr>
    </w:lvl>
    <w:lvl w:ilvl="3" w:tplc="0C00000F" w:tentative="1">
      <w:start w:val="1"/>
      <w:numFmt w:val="decimal"/>
      <w:lvlText w:val="%4."/>
      <w:lvlJc w:val="left"/>
      <w:pPr>
        <w:ind w:left="3511" w:hanging="360"/>
      </w:pPr>
    </w:lvl>
    <w:lvl w:ilvl="4" w:tplc="0C000019" w:tentative="1">
      <w:start w:val="1"/>
      <w:numFmt w:val="lowerLetter"/>
      <w:lvlText w:val="%5."/>
      <w:lvlJc w:val="left"/>
      <w:pPr>
        <w:ind w:left="4231" w:hanging="360"/>
      </w:pPr>
    </w:lvl>
    <w:lvl w:ilvl="5" w:tplc="0C00001B" w:tentative="1">
      <w:start w:val="1"/>
      <w:numFmt w:val="lowerRoman"/>
      <w:lvlText w:val="%6."/>
      <w:lvlJc w:val="right"/>
      <w:pPr>
        <w:ind w:left="4951" w:hanging="180"/>
      </w:pPr>
    </w:lvl>
    <w:lvl w:ilvl="6" w:tplc="0C00000F" w:tentative="1">
      <w:start w:val="1"/>
      <w:numFmt w:val="decimal"/>
      <w:lvlText w:val="%7."/>
      <w:lvlJc w:val="left"/>
      <w:pPr>
        <w:ind w:left="5671" w:hanging="360"/>
      </w:pPr>
    </w:lvl>
    <w:lvl w:ilvl="7" w:tplc="0C000019" w:tentative="1">
      <w:start w:val="1"/>
      <w:numFmt w:val="lowerLetter"/>
      <w:lvlText w:val="%8."/>
      <w:lvlJc w:val="left"/>
      <w:pPr>
        <w:ind w:left="6391" w:hanging="360"/>
      </w:pPr>
    </w:lvl>
    <w:lvl w:ilvl="8" w:tplc="0C00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" w15:restartNumberingAfterBreak="0">
    <w:nsid w:val="31124D81"/>
    <w:multiLevelType w:val="hybridMultilevel"/>
    <w:tmpl w:val="88E64E4A"/>
    <w:lvl w:ilvl="0" w:tplc="B43CF07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06" w:hanging="360"/>
      </w:pPr>
    </w:lvl>
    <w:lvl w:ilvl="2" w:tplc="0C00001B" w:tentative="1">
      <w:start w:val="1"/>
      <w:numFmt w:val="lowerRoman"/>
      <w:lvlText w:val="%3."/>
      <w:lvlJc w:val="right"/>
      <w:pPr>
        <w:ind w:left="2226" w:hanging="180"/>
      </w:pPr>
    </w:lvl>
    <w:lvl w:ilvl="3" w:tplc="0C00000F" w:tentative="1">
      <w:start w:val="1"/>
      <w:numFmt w:val="decimal"/>
      <w:lvlText w:val="%4."/>
      <w:lvlJc w:val="left"/>
      <w:pPr>
        <w:ind w:left="2946" w:hanging="360"/>
      </w:pPr>
    </w:lvl>
    <w:lvl w:ilvl="4" w:tplc="0C000019" w:tentative="1">
      <w:start w:val="1"/>
      <w:numFmt w:val="lowerLetter"/>
      <w:lvlText w:val="%5."/>
      <w:lvlJc w:val="left"/>
      <w:pPr>
        <w:ind w:left="3666" w:hanging="360"/>
      </w:pPr>
    </w:lvl>
    <w:lvl w:ilvl="5" w:tplc="0C00001B" w:tentative="1">
      <w:start w:val="1"/>
      <w:numFmt w:val="lowerRoman"/>
      <w:lvlText w:val="%6."/>
      <w:lvlJc w:val="right"/>
      <w:pPr>
        <w:ind w:left="4386" w:hanging="180"/>
      </w:pPr>
    </w:lvl>
    <w:lvl w:ilvl="6" w:tplc="0C00000F" w:tentative="1">
      <w:start w:val="1"/>
      <w:numFmt w:val="decimal"/>
      <w:lvlText w:val="%7."/>
      <w:lvlJc w:val="left"/>
      <w:pPr>
        <w:ind w:left="5106" w:hanging="360"/>
      </w:pPr>
    </w:lvl>
    <w:lvl w:ilvl="7" w:tplc="0C000019" w:tentative="1">
      <w:start w:val="1"/>
      <w:numFmt w:val="lowerLetter"/>
      <w:lvlText w:val="%8."/>
      <w:lvlJc w:val="left"/>
      <w:pPr>
        <w:ind w:left="5826" w:hanging="360"/>
      </w:pPr>
    </w:lvl>
    <w:lvl w:ilvl="8" w:tplc="0C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D51EAA"/>
    <w:multiLevelType w:val="multilevel"/>
    <w:tmpl w:val="84681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3D4D48"/>
    <w:multiLevelType w:val="multilevel"/>
    <w:tmpl w:val="085E6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C3E3758"/>
    <w:multiLevelType w:val="hybridMultilevel"/>
    <w:tmpl w:val="BCDE0E3C"/>
    <w:lvl w:ilvl="0" w:tplc="654CAD7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CD32E8"/>
    <w:multiLevelType w:val="multilevel"/>
    <w:tmpl w:val="86F6F7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6450B39"/>
    <w:multiLevelType w:val="hybridMultilevel"/>
    <w:tmpl w:val="88E64E4A"/>
    <w:lvl w:ilvl="0" w:tplc="B43CF07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06" w:hanging="360"/>
      </w:pPr>
    </w:lvl>
    <w:lvl w:ilvl="2" w:tplc="0C00001B" w:tentative="1">
      <w:start w:val="1"/>
      <w:numFmt w:val="lowerRoman"/>
      <w:lvlText w:val="%3."/>
      <w:lvlJc w:val="right"/>
      <w:pPr>
        <w:ind w:left="2226" w:hanging="180"/>
      </w:pPr>
    </w:lvl>
    <w:lvl w:ilvl="3" w:tplc="0C00000F" w:tentative="1">
      <w:start w:val="1"/>
      <w:numFmt w:val="decimal"/>
      <w:lvlText w:val="%4."/>
      <w:lvlJc w:val="left"/>
      <w:pPr>
        <w:ind w:left="2946" w:hanging="360"/>
      </w:pPr>
    </w:lvl>
    <w:lvl w:ilvl="4" w:tplc="0C000019" w:tentative="1">
      <w:start w:val="1"/>
      <w:numFmt w:val="lowerLetter"/>
      <w:lvlText w:val="%5."/>
      <w:lvlJc w:val="left"/>
      <w:pPr>
        <w:ind w:left="3666" w:hanging="360"/>
      </w:pPr>
    </w:lvl>
    <w:lvl w:ilvl="5" w:tplc="0C00001B" w:tentative="1">
      <w:start w:val="1"/>
      <w:numFmt w:val="lowerRoman"/>
      <w:lvlText w:val="%6."/>
      <w:lvlJc w:val="right"/>
      <w:pPr>
        <w:ind w:left="4386" w:hanging="180"/>
      </w:pPr>
    </w:lvl>
    <w:lvl w:ilvl="6" w:tplc="0C00000F" w:tentative="1">
      <w:start w:val="1"/>
      <w:numFmt w:val="decimal"/>
      <w:lvlText w:val="%7."/>
      <w:lvlJc w:val="left"/>
      <w:pPr>
        <w:ind w:left="5106" w:hanging="360"/>
      </w:pPr>
    </w:lvl>
    <w:lvl w:ilvl="7" w:tplc="0C000019" w:tentative="1">
      <w:start w:val="1"/>
      <w:numFmt w:val="lowerLetter"/>
      <w:lvlText w:val="%8."/>
      <w:lvlJc w:val="left"/>
      <w:pPr>
        <w:ind w:left="5826" w:hanging="360"/>
      </w:pPr>
    </w:lvl>
    <w:lvl w:ilvl="8" w:tplc="0C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17165F"/>
    <w:multiLevelType w:val="hybridMultilevel"/>
    <w:tmpl w:val="3DB0089A"/>
    <w:lvl w:ilvl="0" w:tplc="05004FD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4258692">
    <w:abstractNumId w:val="7"/>
  </w:num>
  <w:num w:numId="2" w16cid:durableId="1364597548">
    <w:abstractNumId w:val="2"/>
  </w:num>
  <w:num w:numId="3" w16cid:durableId="831606833">
    <w:abstractNumId w:val="4"/>
  </w:num>
  <w:num w:numId="4" w16cid:durableId="1961495869">
    <w:abstractNumId w:val="8"/>
  </w:num>
  <w:num w:numId="5" w16cid:durableId="1165316177">
    <w:abstractNumId w:val="1"/>
  </w:num>
  <w:num w:numId="6" w16cid:durableId="888492447">
    <w:abstractNumId w:val="0"/>
  </w:num>
  <w:num w:numId="7" w16cid:durableId="1753241256">
    <w:abstractNumId w:val="3"/>
  </w:num>
  <w:num w:numId="8" w16cid:durableId="1697609480">
    <w:abstractNumId w:val="7"/>
  </w:num>
  <w:num w:numId="9" w16cid:durableId="329481381">
    <w:abstractNumId w:val="7"/>
  </w:num>
  <w:num w:numId="10" w16cid:durableId="371269774">
    <w:abstractNumId w:val="5"/>
  </w:num>
  <w:num w:numId="11" w16cid:durableId="1666123991">
    <w:abstractNumId w:val="6"/>
  </w:num>
  <w:num w:numId="12" w16cid:durableId="542056432">
    <w:abstractNumId w:val="9"/>
  </w:num>
  <w:num w:numId="13" w16cid:durableId="1930657749">
    <w:abstractNumId w:val="7"/>
  </w:num>
  <w:num w:numId="14" w16cid:durableId="1444770074">
    <w:abstractNumId w:val="7"/>
  </w:num>
  <w:num w:numId="15" w16cid:durableId="280383386">
    <w:abstractNumId w:val="7"/>
  </w:num>
  <w:num w:numId="16" w16cid:durableId="280770946">
    <w:abstractNumId w:val="7"/>
  </w:num>
  <w:num w:numId="17" w16cid:durableId="549389929">
    <w:abstractNumId w:val="7"/>
  </w:num>
  <w:num w:numId="18" w16cid:durableId="1090659894">
    <w:abstractNumId w:val="7"/>
  </w:num>
  <w:num w:numId="19" w16cid:durableId="181168640">
    <w:abstractNumId w:val="7"/>
  </w:num>
  <w:num w:numId="20" w16cid:durableId="194125238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CA"/>
    <w:rsid w:val="0000562C"/>
    <w:rsid w:val="00007A44"/>
    <w:rsid w:val="000212D6"/>
    <w:rsid w:val="00030FDD"/>
    <w:rsid w:val="00033701"/>
    <w:rsid w:val="00071079"/>
    <w:rsid w:val="00075860"/>
    <w:rsid w:val="000913FA"/>
    <w:rsid w:val="000B1CBC"/>
    <w:rsid w:val="00121E87"/>
    <w:rsid w:val="00124D13"/>
    <w:rsid w:val="00136417"/>
    <w:rsid w:val="00186C43"/>
    <w:rsid w:val="00191D1C"/>
    <w:rsid w:val="00193309"/>
    <w:rsid w:val="001B415F"/>
    <w:rsid w:val="001F4AE6"/>
    <w:rsid w:val="00215AD2"/>
    <w:rsid w:val="002349B9"/>
    <w:rsid w:val="002455FB"/>
    <w:rsid w:val="002542EA"/>
    <w:rsid w:val="00281024"/>
    <w:rsid w:val="00285228"/>
    <w:rsid w:val="002A753A"/>
    <w:rsid w:val="002C1FA2"/>
    <w:rsid w:val="002D78D1"/>
    <w:rsid w:val="003047F4"/>
    <w:rsid w:val="00315BCD"/>
    <w:rsid w:val="00322330"/>
    <w:rsid w:val="00330369"/>
    <w:rsid w:val="003611CF"/>
    <w:rsid w:val="00387BE8"/>
    <w:rsid w:val="00390435"/>
    <w:rsid w:val="003967D0"/>
    <w:rsid w:val="003C17DD"/>
    <w:rsid w:val="00406876"/>
    <w:rsid w:val="00406922"/>
    <w:rsid w:val="004153AB"/>
    <w:rsid w:val="00433444"/>
    <w:rsid w:val="00477805"/>
    <w:rsid w:val="00490901"/>
    <w:rsid w:val="00493756"/>
    <w:rsid w:val="0049457B"/>
    <w:rsid w:val="00494608"/>
    <w:rsid w:val="004B51F5"/>
    <w:rsid w:val="004E2831"/>
    <w:rsid w:val="004E6187"/>
    <w:rsid w:val="004F5643"/>
    <w:rsid w:val="00526C62"/>
    <w:rsid w:val="005364D2"/>
    <w:rsid w:val="00556B90"/>
    <w:rsid w:val="005769B8"/>
    <w:rsid w:val="00594D8E"/>
    <w:rsid w:val="005A00CC"/>
    <w:rsid w:val="005A70BB"/>
    <w:rsid w:val="005B10C3"/>
    <w:rsid w:val="005B37DD"/>
    <w:rsid w:val="005B5B6E"/>
    <w:rsid w:val="005E1E9D"/>
    <w:rsid w:val="005F6528"/>
    <w:rsid w:val="00620E41"/>
    <w:rsid w:val="00646B63"/>
    <w:rsid w:val="006476D8"/>
    <w:rsid w:val="00667148"/>
    <w:rsid w:val="0067680F"/>
    <w:rsid w:val="006818D2"/>
    <w:rsid w:val="006904AC"/>
    <w:rsid w:val="006926DC"/>
    <w:rsid w:val="006B3078"/>
    <w:rsid w:val="006B4E46"/>
    <w:rsid w:val="006C5824"/>
    <w:rsid w:val="006D0842"/>
    <w:rsid w:val="006D62F5"/>
    <w:rsid w:val="00731A49"/>
    <w:rsid w:val="00774A08"/>
    <w:rsid w:val="007C6109"/>
    <w:rsid w:val="0080507A"/>
    <w:rsid w:val="00815ED4"/>
    <w:rsid w:val="00820E6A"/>
    <w:rsid w:val="00831742"/>
    <w:rsid w:val="00835CAD"/>
    <w:rsid w:val="00850CAF"/>
    <w:rsid w:val="00852084"/>
    <w:rsid w:val="0086041E"/>
    <w:rsid w:val="00872BA8"/>
    <w:rsid w:val="008B3694"/>
    <w:rsid w:val="00910BA8"/>
    <w:rsid w:val="00922E0D"/>
    <w:rsid w:val="009238B6"/>
    <w:rsid w:val="009A2F4F"/>
    <w:rsid w:val="009B08C4"/>
    <w:rsid w:val="009B43C0"/>
    <w:rsid w:val="009D3CF9"/>
    <w:rsid w:val="009F1FCC"/>
    <w:rsid w:val="009F3FC1"/>
    <w:rsid w:val="00A533BF"/>
    <w:rsid w:val="00A5401A"/>
    <w:rsid w:val="00A66F8E"/>
    <w:rsid w:val="00A72E06"/>
    <w:rsid w:val="00A8703A"/>
    <w:rsid w:val="00AB2F15"/>
    <w:rsid w:val="00AB7173"/>
    <w:rsid w:val="00B01F5A"/>
    <w:rsid w:val="00B03680"/>
    <w:rsid w:val="00B54AA2"/>
    <w:rsid w:val="00B67A2E"/>
    <w:rsid w:val="00B703D4"/>
    <w:rsid w:val="00B74B49"/>
    <w:rsid w:val="00B8135A"/>
    <w:rsid w:val="00B942CA"/>
    <w:rsid w:val="00B94389"/>
    <w:rsid w:val="00B96958"/>
    <w:rsid w:val="00BA78DC"/>
    <w:rsid w:val="00C07900"/>
    <w:rsid w:val="00C547DB"/>
    <w:rsid w:val="00C84C71"/>
    <w:rsid w:val="00CB5454"/>
    <w:rsid w:val="00CC53BF"/>
    <w:rsid w:val="00CC56D2"/>
    <w:rsid w:val="00CC7BAB"/>
    <w:rsid w:val="00CE0C8F"/>
    <w:rsid w:val="00CE703F"/>
    <w:rsid w:val="00D2623B"/>
    <w:rsid w:val="00D52BAF"/>
    <w:rsid w:val="00D55A85"/>
    <w:rsid w:val="00D55ADD"/>
    <w:rsid w:val="00D82FE1"/>
    <w:rsid w:val="00DC7B21"/>
    <w:rsid w:val="00DD171D"/>
    <w:rsid w:val="00DD3762"/>
    <w:rsid w:val="00DD6D10"/>
    <w:rsid w:val="00DE455B"/>
    <w:rsid w:val="00DF3016"/>
    <w:rsid w:val="00DF629B"/>
    <w:rsid w:val="00E266D0"/>
    <w:rsid w:val="00E53A1E"/>
    <w:rsid w:val="00E66558"/>
    <w:rsid w:val="00E9193A"/>
    <w:rsid w:val="00EB2DEB"/>
    <w:rsid w:val="00EB3277"/>
    <w:rsid w:val="00EB51FA"/>
    <w:rsid w:val="00EB79F7"/>
    <w:rsid w:val="00EC3DFB"/>
    <w:rsid w:val="00F44F47"/>
    <w:rsid w:val="00F477F4"/>
    <w:rsid w:val="00F6358A"/>
    <w:rsid w:val="00F72B48"/>
    <w:rsid w:val="00F77CD1"/>
    <w:rsid w:val="00F82A70"/>
    <w:rsid w:val="00F82C26"/>
    <w:rsid w:val="00F87C68"/>
    <w:rsid w:val="00F94CF8"/>
    <w:rsid w:val="00FC6FF7"/>
    <w:rsid w:val="00FD71F3"/>
    <w:rsid w:val="00FD7B03"/>
    <w:rsid w:val="00FE24B9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8B7C"/>
  <w15:chartTrackingRefBased/>
  <w15:docId w15:val="{DE905D33-26F6-49AB-A900-99C1673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910BA8"/>
    <w:pPr>
      <w:keepNext/>
      <w:spacing w:before="240" w:after="60" w:line="240" w:lineRule="auto"/>
      <w:ind w:left="510" w:hanging="51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B9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примітки Знак"/>
    <w:basedOn w:val="a0"/>
    <w:link w:val="a3"/>
    <w:uiPriority w:val="99"/>
    <w:rsid w:val="00B942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annotation reference"/>
    <w:uiPriority w:val="99"/>
    <w:rsid w:val="00B942C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9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942CA"/>
    <w:rPr>
      <w:rFonts w:ascii="Segoe UI" w:hAnsi="Segoe UI" w:cs="Segoe UI"/>
      <w:sz w:val="18"/>
      <w:szCs w:val="18"/>
    </w:rPr>
  </w:style>
  <w:style w:type="paragraph" w:styleId="a8">
    <w:name w:val="List Paragraph"/>
    <w:aliases w:val="Bullets,Абзац списка1,????? ??????,????? ??????1,List Paragraph"/>
    <w:basedOn w:val="a"/>
    <w:link w:val="a9"/>
    <w:uiPriority w:val="34"/>
    <w:qFormat/>
    <w:rsid w:val="003611CF"/>
    <w:pPr>
      <w:spacing w:after="0" w:line="240" w:lineRule="auto"/>
      <w:ind w:left="720" w:firstLine="567"/>
      <w:contextualSpacing/>
      <w:jc w:val="both"/>
    </w:pPr>
    <w:rPr>
      <w:rFonts w:ascii="Times New Roman" w:eastAsia="MS Mincho" w:hAnsi="Times New Roman" w:cs="Times New Roman"/>
      <w:lang w:val="ru-RU" w:eastAsia="ru-RU"/>
    </w:rPr>
  </w:style>
  <w:style w:type="character" w:customStyle="1" w:styleId="a9">
    <w:name w:val="Абзац списку Знак"/>
    <w:aliases w:val="Bullets Знак,Абзац списка1 Знак,????? ?????? Знак,????? ??????1 Знак,List Paragraph Знак"/>
    <w:link w:val="a8"/>
    <w:uiPriority w:val="34"/>
    <w:locked/>
    <w:rsid w:val="003611CF"/>
    <w:rPr>
      <w:rFonts w:ascii="Times New Roman" w:eastAsia="MS Mincho" w:hAnsi="Times New Roman" w:cs="Times New Roman"/>
      <w:lang w:val="ru-RU" w:eastAsia="ru-RU"/>
    </w:rPr>
  </w:style>
  <w:style w:type="paragraph" w:customStyle="1" w:styleId="2">
    <w:name w:val="Уров2 Правила"/>
    <w:basedOn w:val="a"/>
    <w:link w:val="22"/>
    <w:rsid w:val="00556B90"/>
    <w:pPr>
      <w:numPr>
        <w:ilvl w:val="1"/>
        <w:numId w:val="1"/>
      </w:numPr>
      <w:spacing w:before="60" w:after="60" w:line="240" w:lineRule="auto"/>
      <w:jc w:val="both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22">
    <w:name w:val="Уров2 Правила Знак"/>
    <w:link w:val="2"/>
    <w:rsid w:val="00556B90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a">
    <w:name w:val="Subtitle"/>
    <w:basedOn w:val="a"/>
    <w:next w:val="a"/>
    <w:link w:val="ab"/>
    <w:qFormat/>
    <w:rsid w:val="0067680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b">
    <w:name w:val="Підзаголовок Знак"/>
    <w:basedOn w:val="a0"/>
    <w:link w:val="aa"/>
    <w:rsid w:val="0067680F"/>
    <w:rPr>
      <w:rFonts w:ascii="Cambria" w:eastAsia="Times New Roman" w:hAnsi="Cambria" w:cs="Times New Roman"/>
      <w:sz w:val="24"/>
      <w:szCs w:val="24"/>
      <w:lang w:val="ru-RU" w:eastAsia="ru-RU"/>
    </w:rPr>
  </w:style>
  <w:style w:type="numbering" w:customStyle="1" w:styleId="11">
    <w:name w:val="Стиль1"/>
    <w:rsid w:val="0067680F"/>
  </w:style>
  <w:style w:type="paragraph" w:customStyle="1" w:styleId="Default">
    <w:name w:val="Default"/>
    <w:uiPriority w:val="99"/>
    <w:rsid w:val="006768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styleId="ac">
    <w:name w:val="Hyperlink"/>
    <w:uiPriority w:val="99"/>
    <w:rsid w:val="0067680F"/>
    <w:rPr>
      <w:rFonts w:ascii="Times New Roman" w:hAnsi="Times New Roman"/>
      <w:color w:val="000080"/>
      <w:sz w:val="24"/>
      <w:szCs w:val="24"/>
      <w:u w:val="none"/>
    </w:rPr>
  </w:style>
  <w:style w:type="paragraph" w:customStyle="1" w:styleId="12">
    <w:name w:val="Уров1 Правила"/>
    <w:basedOn w:val="a"/>
    <w:rsid w:val="0067680F"/>
    <w:pPr>
      <w:tabs>
        <w:tab w:val="num" w:pos="360"/>
      </w:tabs>
      <w:spacing w:before="60" w:after="60" w:line="240" w:lineRule="auto"/>
      <w:ind w:left="510" w:hanging="51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DC7B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ітки Знак"/>
    <w:basedOn w:val="a4"/>
    <w:link w:val="ad"/>
    <w:uiPriority w:val="99"/>
    <w:semiHidden/>
    <w:rsid w:val="00DC7B2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15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815ED4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1">
    <w:name w:val="Заголовок 2 Знак"/>
    <w:basedOn w:val="a0"/>
    <w:link w:val="20"/>
    <w:rsid w:val="00910BA8"/>
    <w:rPr>
      <w:rFonts w:ascii="Arial" w:eastAsia="MS Mincho" w:hAnsi="Arial" w:cs="Arial"/>
      <w:b/>
      <w:bCs/>
      <w:i/>
      <w:iCs/>
      <w:sz w:val="28"/>
      <w:szCs w:val="28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91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910BA8"/>
  </w:style>
  <w:style w:type="paragraph" w:styleId="af2">
    <w:name w:val="footer"/>
    <w:basedOn w:val="a"/>
    <w:link w:val="af3"/>
    <w:uiPriority w:val="99"/>
    <w:unhideWhenUsed/>
    <w:rsid w:val="0091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910BA8"/>
  </w:style>
  <w:style w:type="paragraph" w:styleId="af4">
    <w:name w:val="Revision"/>
    <w:hidden/>
    <w:uiPriority w:val="99"/>
    <w:semiHidden/>
    <w:rsid w:val="00387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FC24-14CD-4705-8657-C8F4DE7C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16852</Words>
  <Characters>9606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"PRAVEX BANK"</Company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Maksymiuk</dc:creator>
  <cp:keywords/>
  <dc:description/>
  <cp:lastModifiedBy>Bodak Inna Vasylivna</cp:lastModifiedBy>
  <cp:revision>1</cp:revision>
  <dcterms:created xsi:type="dcterms:W3CDTF">2024-06-20T09:18:00Z</dcterms:created>
  <dcterms:modified xsi:type="dcterms:W3CDTF">2024-06-20T09:18:00Z</dcterms:modified>
</cp:coreProperties>
</file>