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D6750"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0393ABE7" w14:textId="7A8514E6" w:rsidR="00A24B7D" w:rsidRPr="00ED3DA1" w:rsidRDefault="00A24B7D" w:rsidP="00ED3DA1">
      <w:pPr>
        <w:tabs>
          <w:tab w:val="left" w:pos="851"/>
        </w:tabs>
        <w:spacing w:line="259" w:lineRule="auto"/>
        <w:jc w:val="center"/>
        <w:rPr>
          <w:rFonts w:ascii="Times New Roman" w:eastAsia="Times New Roman" w:hAnsi="Times New Roman" w:cs="Times New Roman"/>
          <w:b/>
          <w:color w:val="000000"/>
          <w:sz w:val="24"/>
          <w:szCs w:val="24"/>
          <w:lang w:val="uk-UA"/>
        </w:rPr>
      </w:pPr>
      <w:r w:rsidRPr="00ED3DA1">
        <w:rPr>
          <w:rFonts w:ascii="Times New Roman" w:eastAsia="Times New Roman" w:hAnsi="Times New Roman" w:cs="Times New Roman"/>
          <w:b/>
          <w:color w:val="000000"/>
          <w:sz w:val="24"/>
          <w:szCs w:val="24"/>
          <w:lang w:val="uk-UA"/>
        </w:rPr>
        <w:t>СПИСОК ВИКЛЮЧЕНЬ</w:t>
      </w:r>
    </w:p>
    <w:p w14:paraId="7164183E" w14:textId="77777777" w:rsidR="00ED3DA1" w:rsidRDefault="00ED3DA1" w:rsidP="00ED3DA1">
      <w:pPr>
        <w:tabs>
          <w:tab w:val="left" w:pos="851"/>
        </w:tabs>
        <w:spacing w:line="259" w:lineRule="auto"/>
        <w:jc w:val="center"/>
        <w:rPr>
          <w:rFonts w:ascii="Times New Roman" w:eastAsia="Times New Roman" w:hAnsi="Times New Roman" w:cs="Times New Roman"/>
          <w:bCs/>
          <w:color w:val="000000"/>
          <w:sz w:val="24"/>
          <w:szCs w:val="24"/>
          <w:lang w:val="uk-UA"/>
        </w:rPr>
      </w:pPr>
    </w:p>
    <w:p w14:paraId="1780C041" w14:textId="058AD6B4" w:rsidR="00ED3DA1" w:rsidRPr="00ED3DA1" w:rsidRDefault="00ED3DA1" w:rsidP="00ED3DA1">
      <w:pPr>
        <w:tabs>
          <w:tab w:val="left" w:pos="851"/>
        </w:tabs>
        <w:spacing w:line="259" w:lineRule="auto"/>
        <w:jc w:val="both"/>
        <w:rPr>
          <w:rFonts w:ascii="Times New Roman" w:eastAsia="Times New Roman" w:hAnsi="Times New Roman" w:cs="Times New Roman"/>
          <w:bCs/>
          <w:color w:val="000000"/>
          <w:sz w:val="24"/>
          <w:szCs w:val="24"/>
          <w:lang w:val="uk-UA"/>
        </w:rPr>
      </w:pPr>
      <w:r w:rsidRPr="00ED3DA1">
        <w:rPr>
          <w:rFonts w:ascii="Times New Roman" w:hAnsi="Times New Roman" w:cs="Times New Roman"/>
          <w:sz w:val="24"/>
          <w:szCs w:val="24"/>
          <w:lang w:val="uk-UA"/>
        </w:rPr>
        <w:t>Банк зобов</w:t>
      </w:r>
      <w:r>
        <w:rPr>
          <w:rFonts w:ascii="Times New Roman" w:hAnsi="Times New Roman" w:cs="Times New Roman"/>
          <w:sz w:val="24"/>
          <w:szCs w:val="24"/>
          <w:lang w:val="uk-UA"/>
        </w:rPr>
        <w:t>’</w:t>
      </w:r>
      <w:r w:rsidRPr="00ED3DA1">
        <w:rPr>
          <w:rFonts w:ascii="Times New Roman" w:hAnsi="Times New Roman" w:cs="Times New Roman"/>
          <w:sz w:val="24"/>
          <w:szCs w:val="24"/>
          <w:lang w:val="uk-UA"/>
        </w:rPr>
        <w:t xml:space="preserve">язується не фінансувати компанії та проекти, </w:t>
      </w:r>
      <w:r w:rsidRPr="00ED3DA1">
        <w:rPr>
          <w:rFonts w:ascii="Times New Roman" w:hAnsi="Times New Roman" w:cs="Times New Roman"/>
          <w:sz w:val="24"/>
          <w:szCs w:val="24"/>
          <w:lang w:val="uk-UA"/>
        </w:rPr>
        <w:t>які мають такі характеристики:</w:t>
      </w:r>
    </w:p>
    <w:p w14:paraId="61873EEF" w14:textId="77777777" w:rsidR="00A24B7D" w:rsidRDefault="00A24B7D" w:rsidP="00ED3DA1">
      <w:pPr>
        <w:tabs>
          <w:tab w:val="left" w:pos="851"/>
        </w:tabs>
        <w:spacing w:line="259" w:lineRule="auto"/>
        <w:jc w:val="center"/>
        <w:rPr>
          <w:rFonts w:ascii="Times New Roman" w:eastAsia="Times New Roman" w:hAnsi="Times New Roman" w:cs="Times New Roman"/>
          <w:bCs/>
          <w:color w:val="000000"/>
          <w:sz w:val="24"/>
          <w:szCs w:val="24"/>
          <w:lang w:val="uk-UA"/>
        </w:rPr>
      </w:pPr>
    </w:p>
    <w:p w14:paraId="43D12A39" w14:textId="592F386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Діяльність, заборонена національним законодавством України або міжнародно-правовими актами, ратифікованими Україною.</w:t>
      </w:r>
    </w:p>
    <w:p w14:paraId="4A4DB575"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223720CC" w14:textId="7777777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Виробництво або торгівля будь-якими продуктами чи види діяльності, що вважаються незаконними відповідно до законів чи правил приймаючої країни або міжнародних конвенцій та угод, або такими, що підлягають міжнародній забороні чи поетапній ліквідації, наприклад, фармацевтичні препарати, пестициди, гербіциди та інші токсичні речовини (відповідно до Роттердамської конвенції, Стокгольмської конвенції та документа Всесвітньої організації охорони здоров'я (ВООЗ) «Фармацевтичні препарати: Обмеження у використанні та доступності»), озоноруйнівні речовини (згідно з Монреальським протоколом), ПХБ, дикі тварини та продукти, що охороняються відповідно до CITES, заборонена транскордонна торгівля відходами (згідно з Базельською конвенцією).</w:t>
      </w:r>
    </w:p>
    <w:p w14:paraId="37F1FD0A"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598534AF" w14:textId="3D85B9DF"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Виробництво або торгівля зброєю та боєприпасами, включно зі суперечливою зброєю або її критичними компонентами (ядерна зброя та радіоактивні боєприпаси, біологічна та хімічна зброя масового знищення, касетні бомби, протипіхотні міни, збагачений уран).</w:t>
      </w:r>
    </w:p>
    <w:p w14:paraId="6643056C"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3433F6FF" w14:textId="64E7318D"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Виробництво або торгівля алкогольними напоями (крім пива та вина).</w:t>
      </w:r>
    </w:p>
    <w:p w14:paraId="48976AA7"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73E37696" w14:textId="7B1F2B2D"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Виробництво або торгівля тютюном.</w:t>
      </w:r>
    </w:p>
    <w:p w14:paraId="7849443C"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2DCBB9CB" w14:textId="236ED3E6"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Азартні ігри, казино та прирівняні до них підприємства.</w:t>
      </w:r>
    </w:p>
    <w:p w14:paraId="7BA36E4B"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47CB3360" w14:textId="7777777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Виробництво або торгівля радіоактивними матеріалами. Це не стосується придбання медичного обладнання, обладнання для контролю якості та будь-якого обладнання, де радіоактивне джерело вважається мінімальним та/або адекватно захищеним.</w:t>
      </w:r>
    </w:p>
    <w:p w14:paraId="597EB4BA"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6CE82F04" w14:textId="7777777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Виробництво або торгівля незв'язаними азбестовими волокнами. Це не стосується придбання та використання скріплених азбестоцементних листів, де вміст азбесту становить менше 20%.</w:t>
      </w:r>
    </w:p>
    <w:p w14:paraId="2260986D"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6EC45DB2" w14:textId="7777777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Деструктивні методи рибальства та дрифтерний промисел у морському середовищі з використанням сіток довжиною понад 2,5 км.</w:t>
      </w:r>
    </w:p>
    <w:p w14:paraId="7E4B562B"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2B35AE07" w14:textId="31492625"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Виробництво або діяльність, пов'язана зі шкідливими або експлуататорськими формами примусової праці</w:t>
      </w:r>
      <w:r w:rsidR="004D0994">
        <w:rPr>
          <w:rStyle w:val="af0"/>
          <w:rFonts w:ascii="Times New Roman" w:eastAsia="Times New Roman" w:hAnsi="Times New Roman"/>
          <w:bCs/>
          <w:color w:val="000000"/>
          <w:sz w:val="24"/>
          <w:szCs w:val="24"/>
          <w:lang w:val="uk-UA"/>
        </w:rPr>
        <w:footnoteReference w:id="1"/>
      </w:r>
      <w:r w:rsidRPr="00B07C48">
        <w:rPr>
          <w:rFonts w:ascii="Times New Roman" w:eastAsia="Times New Roman" w:hAnsi="Times New Roman" w:cs="Times New Roman"/>
          <w:bCs/>
          <w:color w:val="000000"/>
          <w:sz w:val="24"/>
          <w:szCs w:val="24"/>
          <w:lang w:val="uk-UA"/>
        </w:rPr>
        <w:t>/ шкідливою дитячою працею</w:t>
      </w:r>
      <w:r w:rsidR="004D0994">
        <w:rPr>
          <w:rStyle w:val="af0"/>
          <w:rFonts w:ascii="Times New Roman" w:eastAsia="Times New Roman" w:hAnsi="Times New Roman"/>
          <w:bCs/>
          <w:color w:val="000000"/>
          <w:sz w:val="24"/>
          <w:szCs w:val="24"/>
          <w:lang w:val="uk-UA"/>
        </w:rPr>
        <w:footnoteReference w:id="2"/>
      </w:r>
      <w:r w:rsidRPr="00B07C48">
        <w:rPr>
          <w:rFonts w:ascii="Times New Roman" w:eastAsia="Times New Roman" w:hAnsi="Times New Roman" w:cs="Times New Roman"/>
          <w:bCs/>
          <w:color w:val="000000"/>
          <w:sz w:val="24"/>
          <w:szCs w:val="24"/>
          <w:lang w:val="uk-UA"/>
        </w:rPr>
        <w:t>.</w:t>
      </w:r>
    </w:p>
    <w:p w14:paraId="45620681"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5CA05309" w14:textId="7777777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Комерційні лісозаготівлі в тропічних вологих пралісах.</w:t>
      </w:r>
    </w:p>
    <w:p w14:paraId="0D9E67C0"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10FEDE4F" w14:textId="7777777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lastRenderedPageBreak/>
        <w:t>Виробництво або торгівля деревиною чи іншою продукцією лісозаготівельної діяльності, що не походить з лісів зі сталим лісокористуванням.</w:t>
      </w:r>
    </w:p>
    <w:p w14:paraId="1CA340F6" w14:textId="77777777" w:rsidR="00A24B7D" w:rsidRPr="00B07C48" w:rsidRDefault="00A24B7D" w:rsidP="00ED3DA1">
      <w:pPr>
        <w:tabs>
          <w:tab w:val="left" w:pos="851"/>
        </w:tabs>
        <w:ind w:firstLine="567"/>
        <w:jc w:val="both"/>
        <w:rPr>
          <w:rFonts w:ascii="Times New Roman" w:eastAsia="Times New Roman" w:hAnsi="Times New Roman" w:cs="Times New Roman"/>
          <w:bCs/>
          <w:sz w:val="24"/>
          <w:szCs w:val="24"/>
          <w:lang w:val="uk-UA"/>
        </w:rPr>
      </w:pPr>
    </w:p>
    <w:p w14:paraId="3DFFE30D" w14:textId="47763F49"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Виробництво, торгівля, зберігання або транспортування значних обсягів небезпечних хімічних речовин або використання небезпечних хімічних речовин у промислових масштабах. Небезпечні хімічні речовини включають бензин, керосин та інші нафтопродукти.</w:t>
      </w:r>
    </w:p>
    <w:p w14:paraId="1CB640B8" w14:textId="1565FC34"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Інвестиції, які можуть бути пов'язані зі знищенням</w:t>
      </w:r>
      <w:r w:rsidR="004D0994">
        <w:rPr>
          <w:rStyle w:val="af0"/>
          <w:rFonts w:ascii="Times New Roman" w:eastAsia="Times New Roman" w:hAnsi="Times New Roman"/>
          <w:bCs/>
          <w:color w:val="000000"/>
          <w:sz w:val="24"/>
          <w:szCs w:val="24"/>
          <w:lang w:val="uk-UA"/>
        </w:rPr>
        <w:footnoteReference w:id="3"/>
      </w:r>
      <w:r w:rsidRPr="00B07C48">
        <w:rPr>
          <w:rFonts w:ascii="Times New Roman" w:eastAsia="Times New Roman" w:hAnsi="Times New Roman" w:cs="Times New Roman"/>
          <w:bCs/>
          <w:color w:val="000000"/>
          <w:sz w:val="24"/>
          <w:szCs w:val="24"/>
          <w:lang w:val="uk-UA"/>
        </w:rPr>
        <w:t xml:space="preserve"> або значним погіршенням стану територій, що знаходяться під особливою охороною (без належної компенсації відповідно до міжнародних стандартів).</w:t>
      </w:r>
    </w:p>
    <w:p w14:paraId="16DD81E7"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4ACD3117" w14:textId="7777777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 xml:space="preserve">Атомні електростанції (окрім заходів, що зменшують екологічну небезпеку існуючих активів) та шахти, основним джерелом видобутку яких є уран. </w:t>
      </w:r>
    </w:p>
    <w:p w14:paraId="3CE125B5"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24706F3E" w14:textId="7777777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Пошуки, розвідка та видобуток вугілля; наземні транспортні засоби та пов'язана з ними інфраструктура, що в основному використовуються для видобутку вугілля; електростанції, теплоелектроцентралі та когенераційні установки, що в основному працюють на вугіллі, а також пов'язані з ними лінії електропередачі</w:t>
      </w:r>
      <w:r w:rsidRPr="00B07C48">
        <w:rPr>
          <w:rFonts w:ascii="Times New Roman" w:eastAsia="Times New Roman" w:hAnsi="Times New Roman" w:cs="Times New Roman"/>
          <w:bCs/>
          <w:color w:val="000000"/>
          <w:sz w:val="24"/>
          <w:szCs w:val="24"/>
          <w:vertAlign w:val="superscript"/>
          <w:lang w:val="uk-UA"/>
        </w:rPr>
        <w:footnoteReference w:id="4"/>
      </w:r>
      <w:r w:rsidRPr="00B07C48">
        <w:rPr>
          <w:rFonts w:ascii="Times New Roman" w:eastAsia="Times New Roman" w:hAnsi="Times New Roman" w:cs="Times New Roman"/>
          <w:bCs/>
          <w:color w:val="000000"/>
          <w:sz w:val="24"/>
          <w:szCs w:val="24"/>
          <w:lang w:val="uk-UA"/>
        </w:rPr>
        <w:t>.</w:t>
      </w:r>
    </w:p>
    <w:p w14:paraId="086852E0"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25401B71" w14:textId="7777777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 xml:space="preserve">Нетрадиційний пошук, розвідка та видобуток нафти з бітумінозних сланців, бітумінозних пісків або нафтових пісків. </w:t>
      </w:r>
    </w:p>
    <w:p w14:paraId="27697D24"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bCs/>
          <w:color w:val="000000"/>
          <w:sz w:val="24"/>
          <w:szCs w:val="24"/>
          <w:lang w:val="uk-UA"/>
        </w:rPr>
      </w:pPr>
    </w:p>
    <w:p w14:paraId="14F2A5AC" w14:textId="77777777" w:rsidR="00A24B7D" w:rsidRPr="00B07C48" w:rsidRDefault="00A24B7D" w:rsidP="00ED3DA1">
      <w:pPr>
        <w:numPr>
          <w:ilvl w:val="0"/>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 xml:space="preserve">В окремих секторах фінансові зобов'язання для конкретних нових проєктів будуть пов'язані з такими якісними умовами: </w:t>
      </w:r>
    </w:p>
    <w:p w14:paraId="3BCA77EC" w14:textId="5C8B6A4B" w:rsidR="00A24B7D" w:rsidRPr="00B07C48" w:rsidRDefault="00A24B7D" w:rsidP="00ED3DA1">
      <w:pPr>
        <w:numPr>
          <w:ilvl w:val="1"/>
          <w:numId w:val="1"/>
        </w:numPr>
        <w:tabs>
          <w:tab w:val="left" w:pos="851"/>
        </w:tabs>
        <w:spacing w:line="259" w:lineRule="auto"/>
        <w:ind w:left="0" w:firstLine="567"/>
        <w:jc w:val="both"/>
        <w:rPr>
          <w:rFonts w:ascii="Times New Roman" w:eastAsia="Times New Roman" w:hAnsi="Times New Roman" w:cs="Times New Roman"/>
          <w:bCs/>
          <w:color w:val="000000"/>
          <w:sz w:val="24"/>
          <w:szCs w:val="24"/>
          <w:lang w:val="uk-UA"/>
        </w:rPr>
      </w:pPr>
      <w:r w:rsidRPr="00B07C48">
        <w:rPr>
          <w:rFonts w:ascii="Times New Roman" w:eastAsia="Times New Roman" w:hAnsi="Times New Roman" w:cs="Times New Roman"/>
          <w:bCs/>
          <w:color w:val="000000"/>
          <w:sz w:val="24"/>
          <w:szCs w:val="24"/>
          <w:lang w:val="uk-UA"/>
        </w:rPr>
        <w:t>Великі проєкти з будівництва гребель та ГЕС використовують рекомендації Всесвітньої комісії з гребель (WCD) як орієнтир</w:t>
      </w:r>
      <w:r w:rsidR="004D0994">
        <w:rPr>
          <w:rStyle w:val="af0"/>
          <w:rFonts w:ascii="Times New Roman" w:eastAsia="Times New Roman" w:hAnsi="Times New Roman"/>
          <w:bCs/>
          <w:color w:val="000000"/>
          <w:sz w:val="24"/>
          <w:szCs w:val="24"/>
          <w:lang w:val="uk-UA"/>
        </w:rPr>
        <w:footnoteReference w:id="5"/>
      </w:r>
      <w:r w:rsidRPr="00B07C48">
        <w:rPr>
          <w:rFonts w:ascii="Times New Roman" w:eastAsia="Times New Roman" w:hAnsi="Times New Roman" w:cs="Times New Roman"/>
          <w:bCs/>
          <w:color w:val="000000"/>
          <w:sz w:val="24"/>
          <w:szCs w:val="24"/>
          <w:lang w:val="uk-UA"/>
        </w:rPr>
        <w:t xml:space="preserve">. </w:t>
      </w:r>
    </w:p>
    <w:p w14:paraId="61677AAA" w14:textId="77777777" w:rsidR="00A24B7D" w:rsidRPr="00B07C48" w:rsidRDefault="00A24B7D" w:rsidP="00ED3DA1">
      <w:pPr>
        <w:numPr>
          <w:ilvl w:val="1"/>
          <w:numId w:val="1"/>
        </w:numPr>
        <w:tabs>
          <w:tab w:val="left" w:pos="851"/>
        </w:tabs>
        <w:spacing w:line="259" w:lineRule="auto"/>
        <w:ind w:left="0" w:firstLine="567"/>
        <w:jc w:val="both"/>
        <w:rPr>
          <w:rFonts w:ascii="Times New Roman" w:eastAsia="Times New Roman" w:hAnsi="Times New Roman" w:cs="Times New Roman"/>
          <w:color w:val="000000"/>
          <w:sz w:val="24"/>
          <w:szCs w:val="24"/>
          <w:lang w:val="uk-UA"/>
        </w:rPr>
      </w:pPr>
      <w:r w:rsidRPr="00B07C48">
        <w:rPr>
          <w:rFonts w:ascii="Times New Roman" w:eastAsia="Times New Roman" w:hAnsi="Times New Roman" w:cs="Times New Roman"/>
          <w:bCs/>
          <w:color w:val="000000"/>
          <w:sz w:val="24"/>
          <w:szCs w:val="24"/>
          <w:lang w:val="uk-UA"/>
        </w:rPr>
        <w:t>У проєктах з нетрадиційного пошуку, розвідки та видобутку газу буде розкрито відповідно до міжнародних стандартів, що не очікується суттєвого зниження рівня підземних вод або їх забруднення, що вживаються заходи для захисту ресурсів (зокрема</w:t>
      </w:r>
      <w:r w:rsidRPr="00B07C48">
        <w:rPr>
          <w:rFonts w:ascii="Times New Roman" w:eastAsia="Times New Roman" w:hAnsi="Times New Roman" w:cs="Times New Roman"/>
          <w:color w:val="000000"/>
          <w:sz w:val="24"/>
          <w:szCs w:val="24"/>
          <w:lang w:val="uk-UA"/>
        </w:rPr>
        <w:t xml:space="preserve">, води) та їх повторного використання, що використовується відповідна технологія для безпечного буріння, яка включає інтегровану обв'язку свердловини та випробування під тиском. </w:t>
      </w:r>
    </w:p>
    <w:p w14:paraId="59D9B51B" w14:textId="77777777" w:rsidR="00A24B7D" w:rsidRPr="00B07C48" w:rsidRDefault="00A24B7D" w:rsidP="00ED3DA1">
      <w:pPr>
        <w:tabs>
          <w:tab w:val="left" w:pos="851"/>
        </w:tabs>
        <w:spacing w:line="259" w:lineRule="auto"/>
        <w:ind w:firstLine="567"/>
        <w:jc w:val="both"/>
        <w:rPr>
          <w:rFonts w:ascii="Times New Roman" w:eastAsia="Times New Roman" w:hAnsi="Times New Roman" w:cs="Times New Roman"/>
          <w:color w:val="000000"/>
          <w:sz w:val="24"/>
          <w:szCs w:val="24"/>
          <w:lang w:val="uk-UA"/>
        </w:rPr>
      </w:pPr>
    </w:p>
    <w:p w14:paraId="1005B57D" w14:textId="3CC8A24F" w:rsidR="00A24B7D" w:rsidRPr="00B07C48" w:rsidRDefault="00A24B7D" w:rsidP="00ED3DA1">
      <w:pPr>
        <w:tabs>
          <w:tab w:val="left" w:pos="851"/>
        </w:tabs>
        <w:ind w:firstLine="567"/>
        <w:jc w:val="both"/>
        <w:rPr>
          <w:rFonts w:ascii="Times New Roman" w:eastAsia="Times New Roman" w:hAnsi="Times New Roman" w:cs="Times New Roman"/>
          <w:sz w:val="24"/>
          <w:szCs w:val="24"/>
          <w:lang w:val="uk-UA"/>
        </w:rPr>
      </w:pPr>
      <w:r w:rsidRPr="00B07C48">
        <w:rPr>
          <w:rFonts w:ascii="Times New Roman" w:eastAsia="Times New Roman" w:hAnsi="Times New Roman" w:cs="Times New Roman"/>
          <w:sz w:val="24"/>
          <w:szCs w:val="24"/>
          <w:lang w:val="uk-UA"/>
        </w:rPr>
        <w:t>Тест на обґрунтованість застосовуватиметься у випадках, коли господарська діяльність підприємств матиме значний вплив на розвиток, а обставини в Україні вимага</w:t>
      </w:r>
      <w:r w:rsidR="009E0CC5">
        <w:rPr>
          <w:rFonts w:ascii="Times New Roman" w:eastAsia="Times New Roman" w:hAnsi="Times New Roman" w:cs="Times New Roman"/>
          <w:sz w:val="24"/>
          <w:szCs w:val="24"/>
          <w:lang w:val="uk-UA"/>
        </w:rPr>
        <w:t>тимуть</w:t>
      </w:r>
      <w:r w:rsidRPr="00B07C48">
        <w:rPr>
          <w:rFonts w:ascii="Times New Roman" w:eastAsia="Times New Roman" w:hAnsi="Times New Roman" w:cs="Times New Roman"/>
          <w:sz w:val="24"/>
          <w:szCs w:val="24"/>
          <w:lang w:val="uk-UA"/>
        </w:rPr>
        <w:t xml:space="preserve"> внесення змін до Списку виключень.</w:t>
      </w:r>
    </w:p>
    <w:sectPr w:rsidR="00A24B7D" w:rsidRPr="00B07C4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EF9A4" w14:textId="77777777" w:rsidR="005410A6" w:rsidRDefault="005410A6" w:rsidP="00A24B7D">
      <w:pPr>
        <w:spacing w:line="240" w:lineRule="auto"/>
      </w:pPr>
      <w:r>
        <w:separator/>
      </w:r>
    </w:p>
  </w:endnote>
  <w:endnote w:type="continuationSeparator" w:id="0">
    <w:p w14:paraId="3E75D132" w14:textId="77777777" w:rsidR="005410A6" w:rsidRDefault="005410A6" w:rsidP="00A24B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42217" w14:textId="77777777" w:rsidR="005410A6" w:rsidRDefault="005410A6" w:rsidP="00A24B7D">
      <w:pPr>
        <w:spacing w:line="240" w:lineRule="auto"/>
      </w:pPr>
      <w:r>
        <w:separator/>
      </w:r>
    </w:p>
  </w:footnote>
  <w:footnote w:type="continuationSeparator" w:id="0">
    <w:p w14:paraId="68EE959D" w14:textId="77777777" w:rsidR="005410A6" w:rsidRDefault="005410A6" w:rsidP="00A24B7D">
      <w:pPr>
        <w:spacing w:line="240" w:lineRule="auto"/>
      </w:pPr>
      <w:r>
        <w:continuationSeparator/>
      </w:r>
    </w:p>
  </w:footnote>
  <w:footnote w:id="1">
    <w:p w14:paraId="39294A26" w14:textId="2085C8D4" w:rsidR="004D0994" w:rsidRPr="004D0994" w:rsidRDefault="004D0994">
      <w:pPr>
        <w:pStyle w:val="ae"/>
        <w:rPr>
          <w:lang w:val="uk-UA"/>
        </w:rPr>
      </w:pPr>
      <w:r>
        <w:rPr>
          <w:rStyle w:val="af0"/>
        </w:rPr>
        <w:footnoteRef/>
      </w:r>
      <w:r>
        <w:t xml:space="preserve"> </w:t>
      </w:r>
      <w:bookmarkStart w:id="0" w:name="_Hlk214197999"/>
      <w:r w:rsidRPr="00A277E8">
        <w:rPr>
          <w:lang w:val="uk-UA"/>
        </w:rPr>
        <w:t>Під примусовою працею маються на увазі всі види роботи чи послуг, які виконуються не добровільно, до яких особу змушують погрозами застосування сили чи покарання</w:t>
      </w:r>
      <w:bookmarkEnd w:id="0"/>
      <w:r>
        <w:rPr>
          <w:lang w:val="uk-UA"/>
        </w:rPr>
        <w:t>.</w:t>
      </w:r>
    </w:p>
  </w:footnote>
  <w:footnote w:id="2">
    <w:p w14:paraId="5E491A8D" w14:textId="37ECCF47" w:rsidR="004D0994" w:rsidRPr="004D0994" w:rsidRDefault="004D0994">
      <w:pPr>
        <w:pStyle w:val="ae"/>
        <w:rPr>
          <w:lang w:val="uk-UA"/>
        </w:rPr>
      </w:pPr>
      <w:r>
        <w:rPr>
          <w:rStyle w:val="af0"/>
        </w:rPr>
        <w:footnoteRef/>
      </w:r>
      <w:r>
        <w:t xml:space="preserve"> </w:t>
      </w:r>
      <w:bookmarkStart w:id="1" w:name="_Hlk214198034"/>
      <w:r w:rsidRPr="00A277E8">
        <w:rPr>
          <w:lang w:val="uk-UA"/>
        </w:rPr>
        <w:t>Шкідлива дитяча праця означає зайнятість дітей, яка є економічно експлуататорською, або може бути небезпечною для освіти дитини, або перешкоджати її навчанню, або бути шкідливою для здоров'я дитини, її фізичного, розумового, духовного, морального чи соціального розвитку</w:t>
      </w:r>
      <w:bookmarkEnd w:id="1"/>
      <w:r>
        <w:rPr>
          <w:lang w:val="uk-UA"/>
        </w:rPr>
        <w:t>.</w:t>
      </w:r>
    </w:p>
  </w:footnote>
  <w:footnote w:id="3">
    <w:p w14:paraId="0489226C" w14:textId="131E7087" w:rsidR="004D0994" w:rsidRPr="004D0994" w:rsidRDefault="004D0994">
      <w:pPr>
        <w:pStyle w:val="ae"/>
        <w:rPr>
          <w:lang w:val="uk-UA"/>
        </w:rPr>
      </w:pPr>
      <w:r>
        <w:rPr>
          <w:rStyle w:val="af0"/>
        </w:rPr>
        <w:footnoteRef/>
      </w:r>
      <w:r>
        <w:t xml:space="preserve"> </w:t>
      </w:r>
      <w:bookmarkStart w:id="2" w:name="_Hlk214198167"/>
      <w:r w:rsidRPr="00A60312">
        <w:rPr>
          <w:lang w:val="uk-UA"/>
        </w:rPr>
        <w:t>Під «знищенням» мається на увазі (i) знищення або серйозне погіршення цілісності району, спричинене суттєвими та тривалими змінами у використанні землі чи води або (ii) зміна осередку проживання, що призводить до неможливості постраждалого району виконувати свою функцію</w:t>
      </w:r>
      <w:bookmarkEnd w:id="2"/>
      <w:r w:rsidRPr="00A60312">
        <w:rPr>
          <w:lang w:val="uk-UA"/>
        </w:rPr>
        <w:t>.</w:t>
      </w:r>
    </w:p>
  </w:footnote>
  <w:footnote w:id="4">
    <w:p w14:paraId="6362324B" w14:textId="64C460CB" w:rsidR="00ED3DA1" w:rsidRPr="00B272C3" w:rsidRDefault="004D0994" w:rsidP="00ED3DA1">
      <w:pPr>
        <w:spacing w:line="240" w:lineRule="auto"/>
        <w:jc w:val="both"/>
        <w:rPr>
          <w:rFonts w:ascii="Arial" w:hAnsi="Arial" w:cs="Arial"/>
          <w:sz w:val="18"/>
          <w:lang w:val="uk-UA"/>
        </w:rPr>
      </w:pPr>
      <w:r>
        <w:rPr>
          <w:rStyle w:val="af0"/>
        </w:rPr>
        <w:footnoteRef/>
      </w:r>
      <w:r>
        <w:rPr>
          <w:rFonts w:eastAsia="Times New Roman"/>
          <w:color w:val="000000"/>
        </w:rPr>
        <w:t xml:space="preserve"> </w:t>
      </w:r>
      <w:r w:rsidRPr="004D0994">
        <w:rPr>
          <w:rFonts w:eastAsia="Times New Roman"/>
          <w:color w:val="000000"/>
          <w:lang w:val="uk-UA"/>
        </w:rPr>
        <w:t>Інвестиції в електропередавальні мережі зі значною часткою генерації на основі вугілля будуть здійснюватися лише в країнах і регіонах з амбітною національною політикою або стратегією захисту клімату (NDC), або якщо інвестиції спрямовані на скорочення частки вугільної генерації у відповідній мережі. У країнах, що розвиваються, теплові станції та когенераційні установки (ТЕЦ), які в основному працюють на вугіллі, можуть співфінансуватися в окремих випадках на основі суворої оцінки, якщо вони роблять особливо вагомий внесок у сталий розвиток, зменшують основні екологічні загрози, і якщо очевидно, що немає більш дружньої до клімату альтернативи.</w:t>
      </w:r>
    </w:p>
  </w:footnote>
  <w:footnote w:id="5">
    <w:p w14:paraId="0A328DDD" w14:textId="77777777" w:rsidR="004D0994" w:rsidRPr="00E711C0" w:rsidRDefault="004D0994" w:rsidP="004D0994">
      <w:pPr>
        <w:pStyle w:val="ae"/>
        <w:rPr>
          <w:lang w:val="uk-UA"/>
        </w:rPr>
      </w:pPr>
      <w:r>
        <w:rPr>
          <w:rStyle w:val="af0"/>
        </w:rPr>
        <w:footnoteRef/>
      </w:r>
      <w:r>
        <w:t xml:space="preserve"> </w:t>
      </w:r>
      <w:bookmarkStart w:id="3" w:name="_Hlk214198257"/>
      <w:bookmarkStart w:id="4" w:name="_Hlk214198258"/>
      <w:bookmarkStart w:id="5" w:name="_Hlk214198259"/>
      <w:bookmarkStart w:id="6" w:name="_Hlk214198260"/>
      <w:r w:rsidRPr="00A60312">
        <w:rPr>
          <w:lang w:val="uk-UA"/>
        </w:rPr>
        <w:t>Греблі висотою не менше 15 метрів від фундаменту або греблі висотою від 5 до 15 метрів з об'ємом водосховища понад 3 мільйони кубічних метрів.</w:t>
      </w:r>
      <w:bookmarkEnd w:id="3"/>
      <w:bookmarkEnd w:id="4"/>
      <w:bookmarkEnd w:id="5"/>
      <w:bookmarkEnd w:id="6"/>
    </w:p>
    <w:p w14:paraId="6B79B87A" w14:textId="50790D28" w:rsidR="004D0994" w:rsidRPr="004D0994" w:rsidRDefault="004D0994">
      <w:pPr>
        <w:pStyle w:val="ae"/>
        <w:rPr>
          <w:lang w:val="uk-U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5598"/>
    <w:multiLevelType w:val="multilevel"/>
    <w:tmpl w:val="E2CA186C"/>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80322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EC"/>
    <w:rsid w:val="00027F6B"/>
    <w:rsid w:val="00055671"/>
    <w:rsid w:val="004D0994"/>
    <w:rsid w:val="005410A6"/>
    <w:rsid w:val="006A494F"/>
    <w:rsid w:val="009159A1"/>
    <w:rsid w:val="009E0CC5"/>
    <w:rsid w:val="00A24B7D"/>
    <w:rsid w:val="00B303EC"/>
    <w:rsid w:val="00ED3D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60A1F"/>
  <w15:chartTrackingRefBased/>
  <w15:docId w15:val="{70A71BCA-31D6-4B3E-8E74-954F5FCF7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B7D"/>
    <w:pPr>
      <w:spacing w:after="0" w:line="260" w:lineRule="atLeast"/>
    </w:pPr>
    <w:rPr>
      <w:rFonts w:ascii="Calibri" w:eastAsiaTheme="minorEastAsia" w:hAnsi="Calibri" w:cs="Calibri"/>
      <w:kern w:val="0"/>
      <w:sz w:val="20"/>
      <w:szCs w:val="20"/>
      <w:lang w:val="en-US" w:eastAsia="en-GB"/>
      <w14:ligatures w14:val="none"/>
    </w:rPr>
  </w:style>
  <w:style w:type="paragraph" w:styleId="1">
    <w:name w:val="heading 1"/>
    <w:basedOn w:val="a"/>
    <w:next w:val="a"/>
    <w:link w:val="10"/>
    <w:uiPriority w:val="9"/>
    <w:qFormat/>
    <w:rsid w:val="00B303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303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303E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303E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303E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303E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303E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303E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303E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03E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303E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303E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303E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303E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303E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303EC"/>
    <w:rPr>
      <w:rFonts w:eastAsiaTheme="majorEastAsia" w:cstheme="majorBidi"/>
      <w:color w:val="595959" w:themeColor="text1" w:themeTint="A6"/>
    </w:rPr>
  </w:style>
  <w:style w:type="character" w:customStyle="1" w:styleId="80">
    <w:name w:val="Заголовок 8 Знак"/>
    <w:basedOn w:val="a0"/>
    <w:link w:val="8"/>
    <w:uiPriority w:val="9"/>
    <w:semiHidden/>
    <w:rsid w:val="00B303E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303EC"/>
    <w:rPr>
      <w:rFonts w:eastAsiaTheme="majorEastAsia" w:cstheme="majorBidi"/>
      <w:color w:val="272727" w:themeColor="text1" w:themeTint="D8"/>
    </w:rPr>
  </w:style>
  <w:style w:type="paragraph" w:styleId="a3">
    <w:name w:val="Title"/>
    <w:basedOn w:val="a"/>
    <w:next w:val="a"/>
    <w:link w:val="a4"/>
    <w:uiPriority w:val="10"/>
    <w:qFormat/>
    <w:rsid w:val="00B303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303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03E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303E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303EC"/>
    <w:pPr>
      <w:spacing w:before="160"/>
      <w:jc w:val="center"/>
    </w:pPr>
    <w:rPr>
      <w:i/>
      <w:iCs/>
      <w:color w:val="404040" w:themeColor="text1" w:themeTint="BF"/>
    </w:rPr>
  </w:style>
  <w:style w:type="character" w:customStyle="1" w:styleId="a8">
    <w:name w:val="Цитата Знак"/>
    <w:basedOn w:val="a0"/>
    <w:link w:val="a7"/>
    <w:uiPriority w:val="29"/>
    <w:rsid w:val="00B303EC"/>
    <w:rPr>
      <w:i/>
      <w:iCs/>
      <w:color w:val="404040" w:themeColor="text1" w:themeTint="BF"/>
    </w:rPr>
  </w:style>
  <w:style w:type="paragraph" w:styleId="a9">
    <w:name w:val="List Paragraph"/>
    <w:basedOn w:val="a"/>
    <w:uiPriority w:val="34"/>
    <w:qFormat/>
    <w:rsid w:val="00B303EC"/>
    <w:pPr>
      <w:ind w:left="720"/>
      <w:contextualSpacing/>
    </w:pPr>
  </w:style>
  <w:style w:type="character" w:styleId="aa">
    <w:name w:val="Intense Emphasis"/>
    <w:basedOn w:val="a0"/>
    <w:uiPriority w:val="21"/>
    <w:qFormat/>
    <w:rsid w:val="00B303EC"/>
    <w:rPr>
      <w:i/>
      <w:iCs/>
      <w:color w:val="0F4761" w:themeColor="accent1" w:themeShade="BF"/>
    </w:rPr>
  </w:style>
  <w:style w:type="paragraph" w:styleId="ab">
    <w:name w:val="Intense Quote"/>
    <w:basedOn w:val="a"/>
    <w:next w:val="a"/>
    <w:link w:val="ac"/>
    <w:uiPriority w:val="30"/>
    <w:qFormat/>
    <w:rsid w:val="00B303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303EC"/>
    <w:rPr>
      <w:i/>
      <w:iCs/>
      <w:color w:val="0F4761" w:themeColor="accent1" w:themeShade="BF"/>
    </w:rPr>
  </w:style>
  <w:style w:type="character" w:styleId="ad">
    <w:name w:val="Intense Reference"/>
    <w:basedOn w:val="a0"/>
    <w:uiPriority w:val="32"/>
    <w:qFormat/>
    <w:rsid w:val="00B303EC"/>
    <w:rPr>
      <w:b/>
      <w:bCs/>
      <w:smallCaps/>
      <w:color w:val="0F4761" w:themeColor="accent1" w:themeShade="BF"/>
      <w:spacing w:val="5"/>
    </w:rPr>
  </w:style>
  <w:style w:type="paragraph" w:styleId="ae">
    <w:name w:val="footnote text"/>
    <w:aliases w:val="Footnote Text Char Char Char,Footnote Text Char Char Char Char Char Char Char,Footnote Text Char Char Char Char Char,Footnote Text Char Char Char Char Char Char,Footnote Text Char Char Char Char Ch Char,Footnotes,Geneva 9,f,Car,Footnote"/>
    <w:basedOn w:val="a"/>
    <w:link w:val="af"/>
    <w:uiPriority w:val="99"/>
    <w:unhideWhenUsed/>
    <w:qFormat/>
    <w:rsid w:val="00ED3DA1"/>
    <w:pPr>
      <w:spacing w:line="240" w:lineRule="auto"/>
    </w:pPr>
  </w:style>
  <w:style w:type="character" w:customStyle="1" w:styleId="af">
    <w:name w:val="Текст виноски Знак"/>
    <w:aliases w:val="Footnote Text Char Char Char Знак,Footnote Text Char Char Char Char Char Char Char Знак,Footnote Text Char Char Char Char Char Знак,Footnote Text Char Char Char Char Char Char Знак,Footnote Text Char Char Char Char Ch Char Знак,f Знак"/>
    <w:basedOn w:val="a0"/>
    <w:link w:val="ae"/>
    <w:uiPriority w:val="99"/>
    <w:qFormat/>
    <w:rsid w:val="00ED3DA1"/>
    <w:rPr>
      <w:rFonts w:ascii="Calibri" w:eastAsiaTheme="minorEastAsia" w:hAnsi="Calibri" w:cs="Calibri"/>
      <w:kern w:val="0"/>
      <w:sz w:val="20"/>
      <w:szCs w:val="20"/>
      <w:lang w:val="en-US" w:eastAsia="en-GB"/>
      <w14:ligatures w14:val="none"/>
    </w:rPr>
  </w:style>
  <w:style w:type="character" w:styleId="af0">
    <w:name w:val="footnote reference"/>
    <w:aliases w:val="16 Point,Superscript 6 Point,ftref,BVI fnr,EN Footnote Reference,Error-Fußnotenzeichen5,Error-Fußnotenzeichen6,Exposant 3 Point,FO,Footnote Reference Number,Footnote reference number,Footnote symbol,Re,Ref,Times 10 Point,fr,note TESI"/>
    <w:basedOn w:val="a0"/>
    <w:link w:val="BVIfnrCarCar"/>
    <w:uiPriority w:val="99"/>
    <w:unhideWhenUsed/>
    <w:qFormat/>
    <w:rsid w:val="00ED3DA1"/>
    <w:rPr>
      <w:rFonts w:cs="Times New Roman"/>
      <w:vertAlign w:val="superscript"/>
    </w:rPr>
  </w:style>
  <w:style w:type="paragraph" w:customStyle="1" w:styleId="BVIfnrCarCar">
    <w:name w:val="BVI fnr Car Car"/>
    <w:aliases w:val="BVI fnr Car,BVI fnr Car Car Car Car,BVI fnr Car Car Car Car Char Car Char Char,BVI fnr Car Car Car Car Char,footnote number Char,BVI fnr Car Car Car Car Char Char,de nota al pi"/>
    <w:basedOn w:val="a"/>
    <w:link w:val="af0"/>
    <w:autoRedefine/>
    <w:uiPriority w:val="99"/>
    <w:rsid w:val="00ED3DA1"/>
    <w:pPr>
      <w:widowControl w:val="0"/>
      <w:autoSpaceDE w:val="0"/>
      <w:autoSpaceDN w:val="0"/>
      <w:adjustRightInd w:val="0"/>
      <w:spacing w:line="240" w:lineRule="auto"/>
      <w:jc w:val="both"/>
    </w:pPr>
    <w:rPr>
      <w:rFonts w:asciiTheme="minorHAnsi" w:eastAsiaTheme="minorHAnsi" w:hAnsiTheme="minorHAnsi" w:cs="Times New Roman"/>
      <w:kern w:val="2"/>
      <w:sz w:val="24"/>
      <w:szCs w:val="24"/>
      <w:vertAlign w:val="superscript"/>
      <w:lang w:val="uk-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D6987-30FA-4AB9-8109-31483AAA0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2617</Words>
  <Characters>1492</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PRAVEX</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Baradakova Svitlana Ivanivna</dc:creator>
  <cp:keywords/>
  <dc:description/>
  <cp:lastModifiedBy>Baradakova Svitlana Ivanivna</cp:lastModifiedBy>
  <cp:revision>5</cp:revision>
  <dcterms:created xsi:type="dcterms:W3CDTF">2026-10-06T16:24:00Z</dcterms:created>
  <dcterms:modified xsi:type="dcterms:W3CDTF">2026-10-06T16:48:00Z</dcterms:modified>
</cp:coreProperties>
</file>